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6D6" w:rsidRPr="00551FDE" w:rsidRDefault="0084638D">
      <w:pPr>
        <w:pStyle w:val="ad"/>
        <w:jc w:val="left"/>
        <w:rPr>
          <w:rFonts w:ascii="黑体" w:eastAsia="黑体" w:hAnsi="黑体"/>
        </w:rPr>
      </w:pPr>
      <w:bookmarkStart w:id="0" w:name="_Toc467597858"/>
      <w:r w:rsidRPr="00551FDE">
        <w:rPr>
          <w:rFonts w:ascii="黑体" w:eastAsia="黑体" w:hAnsi="黑体" w:hint="eastAsia"/>
        </w:rPr>
        <w:t>附件</w:t>
      </w:r>
      <w:r w:rsidR="00551FDE" w:rsidRPr="00551FDE">
        <w:rPr>
          <w:rFonts w:ascii="黑体" w:eastAsia="黑体" w:hAnsi="黑体" w:hint="eastAsia"/>
        </w:rPr>
        <w:t>1</w:t>
      </w:r>
      <w:r w:rsidR="00551FDE">
        <w:rPr>
          <w:rFonts w:ascii="黑体" w:eastAsia="黑体" w:hAnsi="黑体"/>
        </w:rPr>
        <w:t xml:space="preserve"> </w:t>
      </w:r>
      <w:r w:rsidR="00551FDE" w:rsidRPr="00551FDE">
        <w:rPr>
          <w:rFonts w:ascii="黑体" w:eastAsia="黑体" w:hAnsi="黑体" w:hint="eastAsia"/>
        </w:rPr>
        <w:t>中文论文模板</w:t>
      </w:r>
    </w:p>
    <w:p w:rsidR="000946D6" w:rsidRDefault="000946D6">
      <w:bookmarkStart w:id="1" w:name="_GoBack"/>
      <w:bookmarkEnd w:id="1"/>
    </w:p>
    <w:p w:rsidR="000946D6" w:rsidRDefault="0084638D">
      <w:pPr>
        <w:pStyle w:val="ad"/>
        <w:rPr>
          <w:rFonts w:asciiTheme="majorEastAsia" w:eastAsiaTheme="majorEastAsia" w:hAnsiTheme="majorEastAsia"/>
          <w:sz w:val="44"/>
          <w:szCs w:val="44"/>
        </w:rPr>
      </w:pPr>
      <w:r>
        <w:rPr>
          <w:rFonts w:asciiTheme="majorEastAsia" w:eastAsiaTheme="majorEastAsia" w:hAnsiTheme="majorEastAsia"/>
          <w:sz w:val="44"/>
          <w:szCs w:val="44"/>
        </w:rPr>
        <w:t>“</w:t>
      </w:r>
      <w:r>
        <w:rPr>
          <w:rFonts w:asciiTheme="majorEastAsia" w:eastAsiaTheme="majorEastAsia" w:hAnsiTheme="majorEastAsia"/>
          <w:sz w:val="44"/>
          <w:szCs w:val="44"/>
        </w:rPr>
        <w:t>分解</w:t>
      </w:r>
      <w:r>
        <w:rPr>
          <w:rFonts w:asciiTheme="majorEastAsia" w:eastAsiaTheme="majorEastAsia" w:hAnsiTheme="majorEastAsia"/>
          <w:sz w:val="44"/>
          <w:szCs w:val="44"/>
        </w:rPr>
        <w:t>-</w:t>
      </w:r>
      <w:r>
        <w:rPr>
          <w:rFonts w:asciiTheme="majorEastAsia" w:eastAsiaTheme="majorEastAsia" w:hAnsiTheme="majorEastAsia"/>
          <w:sz w:val="44"/>
          <w:szCs w:val="44"/>
        </w:rPr>
        <w:t>体验</w:t>
      </w:r>
      <w:r>
        <w:rPr>
          <w:rFonts w:asciiTheme="majorEastAsia" w:eastAsiaTheme="majorEastAsia" w:hAnsiTheme="majorEastAsia"/>
          <w:sz w:val="44"/>
          <w:szCs w:val="44"/>
        </w:rPr>
        <w:t>-</w:t>
      </w:r>
      <w:r>
        <w:rPr>
          <w:rFonts w:asciiTheme="majorEastAsia" w:eastAsiaTheme="majorEastAsia" w:hAnsiTheme="majorEastAsia"/>
          <w:sz w:val="44"/>
          <w:szCs w:val="44"/>
        </w:rPr>
        <w:t>认知</w:t>
      </w:r>
      <w:r>
        <w:rPr>
          <w:rFonts w:asciiTheme="majorEastAsia" w:eastAsiaTheme="majorEastAsia" w:hAnsiTheme="majorEastAsia"/>
          <w:sz w:val="44"/>
          <w:szCs w:val="44"/>
        </w:rPr>
        <w:t>”</w:t>
      </w:r>
      <w:bookmarkEnd w:id="0"/>
    </w:p>
    <w:p w:rsidR="000946D6" w:rsidRDefault="0084638D">
      <w:pPr>
        <w:pStyle w:val="ad"/>
        <w:spacing w:before="0"/>
        <w:rPr>
          <w:rFonts w:asciiTheme="majorEastAsia" w:eastAsiaTheme="majorEastAsia" w:hAnsiTheme="majorEastAsia"/>
        </w:rPr>
      </w:pPr>
      <w:bookmarkStart w:id="2" w:name="_Toc467597859"/>
      <w:r>
        <w:rPr>
          <w:rFonts w:asciiTheme="majorEastAsia" w:eastAsiaTheme="majorEastAsia" w:hAnsiTheme="majorEastAsia"/>
        </w:rPr>
        <w:t>——</w:t>
      </w:r>
      <w:r>
        <w:rPr>
          <w:rFonts w:asciiTheme="majorEastAsia" w:eastAsiaTheme="majorEastAsia" w:hAnsiTheme="majorEastAsia"/>
        </w:rPr>
        <w:t>探究式展品</w:t>
      </w:r>
      <w:r>
        <w:rPr>
          <w:rFonts w:asciiTheme="majorEastAsia" w:eastAsiaTheme="majorEastAsia" w:hAnsiTheme="majorEastAsia" w:hint="eastAsia"/>
        </w:rPr>
        <w:t>辅导</w:t>
      </w:r>
      <w:r>
        <w:rPr>
          <w:rFonts w:asciiTheme="majorEastAsia" w:eastAsiaTheme="majorEastAsia" w:hAnsiTheme="majorEastAsia"/>
        </w:rPr>
        <w:t>开发思路</w:t>
      </w:r>
      <w:bookmarkEnd w:id="2"/>
    </w:p>
    <w:p w:rsidR="000946D6" w:rsidRDefault="0084638D">
      <w:pPr>
        <w:spacing w:beforeLines="50" w:before="156" w:line="360" w:lineRule="exact"/>
        <w:jc w:val="center"/>
        <w:rPr>
          <w:rFonts w:ascii="楷体" w:eastAsia="楷体" w:hAnsi="楷体"/>
          <w:sz w:val="28"/>
        </w:rPr>
      </w:pPr>
      <w:r>
        <w:rPr>
          <w:rFonts w:ascii="楷体" w:eastAsia="楷体" w:hAnsi="楷体" w:hint="eastAsia"/>
          <w:sz w:val="28"/>
        </w:rPr>
        <w:t>陈</w:t>
      </w:r>
      <w:r>
        <w:rPr>
          <w:rFonts w:ascii="楷体" w:eastAsia="楷体" w:hAnsi="楷体" w:hint="eastAsia"/>
          <w:sz w:val="28"/>
        </w:rPr>
        <w:t xml:space="preserve">  </w:t>
      </w:r>
      <w:r>
        <w:rPr>
          <w:rFonts w:ascii="楷体" w:eastAsia="楷体" w:hAnsi="楷体" w:hint="eastAsia"/>
          <w:sz w:val="28"/>
        </w:rPr>
        <w:t>闯</w:t>
      </w:r>
      <w:r>
        <w:rPr>
          <w:rStyle w:val="af0"/>
          <w:rFonts w:ascii="楷体" w:eastAsia="楷体" w:hAnsi="楷体"/>
          <w:sz w:val="28"/>
        </w:rPr>
        <w:footnoteReference w:id="1"/>
      </w:r>
    </w:p>
    <w:p w:rsidR="000946D6" w:rsidRDefault="000946D6">
      <w:pPr>
        <w:spacing w:line="360" w:lineRule="exact"/>
        <w:jc w:val="left"/>
        <w:rPr>
          <w:rFonts w:ascii="宋体" w:hAnsi="宋体" w:cs="仿宋_GB2312"/>
          <w:sz w:val="24"/>
          <w:szCs w:val="24"/>
        </w:rPr>
      </w:pPr>
    </w:p>
    <w:p w:rsidR="000946D6" w:rsidRDefault="0084638D">
      <w:pPr>
        <w:spacing w:line="400" w:lineRule="exact"/>
        <w:rPr>
          <w:rFonts w:ascii="Times New Roman" w:eastAsia="楷体" w:hAnsi="Times New Roman"/>
          <w:sz w:val="22"/>
        </w:rPr>
      </w:pPr>
      <w:r>
        <w:rPr>
          <w:rFonts w:hint="eastAsia"/>
          <w:b/>
          <w:sz w:val="22"/>
          <w:lang w:val="en-AU"/>
        </w:rPr>
        <w:t>【</w:t>
      </w:r>
      <w:r>
        <w:rPr>
          <w:rFonts w:ascii="黑体" w:eastAsia="黑体" w:hAnsi="黑体" w:hint="eastAsia"/>
          <w:b/>
          <w:sz w:val="22"/>
          <w:lang w:val="en-AU"/>
        </w:rPr>
        <w:t>摘要</w:t>
      </w:r>
      <w:r>
        <w:rPr>
          <w:rFonts w:hint="eastAsia"/>
          <w:b/>
          <w:sz w:val="22"/>
          <w:lang w:val="en-AU"/>
        </w:rPr>
        <w:t>】</w:t>
      </w:r>
      <w:r>
        <w:rPr>
          <w:rFonts w:ascii="Times New Roman" w:eastAsia="楷体" w:hAnsi="Times New Roman" w:hint="eastAsia"/>
          <w:sz w:val="22"/>
        </w:rPr>
        <w:t>依托展品开展探究式教育活动是</w:t>
      </w:r>
      <w:r>
        <w:rPr>
          <w:rFonts w:ascii="Times New Roman" w:eastAsia="楷体" w:hAnsi="Times New Roman"/>
          <w:sz w:val="22"/>
        </w:rPr>
        <w:t>引导受众有效体验展品、辅助受众认知建构</w:t>
      </w:r>
      <w:r>
        <w:rPr>
          <w:rFonts w:ascii="Times New Roman" w:eastAsia="楷体" w:hAnsi="Times New Roman" w:hint="eastAsia"/>
          <w:sz w:val="22"/>
        </w:rPr>
        <w:t>的重要手段。本文根据各地科技馆的实践</w:t>
      </w:r>
      <w:r>
        <w:rPr>
          <w:rFonts w:ascii="Times New Roman" w:eastAsia="楷体" w:hAnsi="Times New Roman"/>
          <w:sz w:val="22"/>
        </w:rPr>
        <w:t>归纳出一种</w:t>
      </w:r>
      <w:r>
        <w:rPr>
          <w:rFonts w:ascii="Times New Roman" w:eastAsia="楷体" w:hAnsi="Times New Roman" w:hint="eastAsia"/>
          <w:sz w:val="22"/>
        </w:rPr>
        <w:t>具有“</w:t>
      </w:r>
      <w:r>
        <w:rPr>
          <w:rFonts w:ascii="Times New Roman" w:eastAsia="楷体" w:hAnsi="Times New Roman"/>
          <w:sz w:val="22"/>
        </w:rPr>
        <w:t>分解</w:t>
      </w:r>
      <w:r>
        <w:rPr>
          <w:rFonts w:ascii="Times New Roman" w:eastAsia="楷体" w:hAnsi="Times New Roman"/>
          <w:sz w:val="22"/>
        </w:rPr>
        <w:t>-</w:t>
      </w:r>
      <w:r>
        <w:rPr>
          <w:rFonts w:ascii="Times New Roman" w:eastAsia="楷体" w:hAnsi="Times New Roman"/>
          <w:sz w:val="22"/>
        </w:rPr>
        <w:t>体验</w:t>
      </w:r>
      <w:r>
        <w:rPr>
          <w:rFonts w:ascii="Times New Roman" w:eastAsia="楷体" w:hAnsi="Times New Roman"/>
          <w:sz w:val="22"/>
        </w:rPr>
        <w:t>-</w:t>
      </w:r>
      <w:r>
        <w:rPr>
          <w:rFonts w:ascii="Times New Roman" w:eastAsia="楷体" w:hAnsi="Times New Roman"/>
          <w:sz w:val="22"/>
        </w:rPr>
        <w:t>认知</w:t>
      </w:r>
      <w:r>
        <w:rPr>
          <w:rFonts w:ascii="Times New Roman" w:eastAsia="楷体" w:hAnsi="Times New Roman" w:hint="eastAsia"/>
          <w:sz w:val="22"/>
        </w:rPr>
        <w:t>”特征</w:t>
      </w:r>
      <w:r>
        <w:rPr>
          <w:rFonts w:ascii="Times New Roman" w:eastAsia="楷体" w:hAnsi="Times New Roman"/>
          <w:sz w:val="22"/>
        </w:rPr>
        <w:t>的探究式</w:t>
      </w:r>
      <w:r>
        <w:rPr>
          <w:rFonts w:ascii="Times New Roman" w:eastAsia="楷体" w:hAnsi="Times New Roman" w:hint="eastAsia"/>
          <w:sz w:val="22"/>
        </w:rPr>
        <w:t>展品辅导</w:t>
      </w:r>
      <w:r>
        <w:rPr>
          <w:rFonts w:ascii="Times New Roman" w:eastAsia="楷体" w:hAnsi="Times New Roman"/>
          <w:sz w:val="22"/>
        </w:rPr>
        <w:t>开发思路</w:t>
      </w:r>
      <w:r>
        <w:rPr>
          <w:rFonts w:ascii="Times New Roman" w:eastAsia="楷体" w:hAnsi="Times New Roman" w:hint="eastAsia"/>
          <w:sz w:val="22"/>
        </w:rPr>
        <w:t>，即将</w:t>
      </w:r>
      <w:r>
        <w:rPr>
          <w:rFonts w:ascii="Times New Roman" w:eastAsia="楷体" w:hAnsi="Times New Roman"/>
          <w:sz w:val="22"/>
        </w:rPr>
        <w:t>展品的</w:t>
      </w:r>
      <w:r>
        <w:rPr>
          <w:rFonts w:ascii="Times New Roman" w:eastAsia="楷体" w:hAnsi="Times New Roman" w:hint="eastAsia"/>
          <w:sz w:val="22"/>
        </w:rPr>
        <w:t>原理</w:t>
      </w:r>
      <w:r>
        <w:rPr>
          <w:rFonts w:ascii="Times New Roman" w:eastAsia="楷体" w:hAnsi="Times New Roman"/>
          <w:sz w:val="22"/>
        </w:rPr>
        <w:t>、过程、操作等</w:t>
      </w:r>
      <w:r>
        <w:rPr>
          <w:rFonts w:ascii="Times New Roman" w:eastAsia="楷体" w:hAnsi="Times New Roman" w:hint="eastAsia"/>
          <w:sz w:val="22"/>
        </w:rPr>
        <w:t>进行</w:t>
      </w:r>
      <w:r>
        <w:rPr>
          <w:rFonts w:ascii="Times New Roman" w:eastAsia="楷体" w:hAnsi="Times New Roman"/>
          <w:sz w:val="22"/>
        </w:rPr>
        <w:t>分解，</w:t>
      </w:r>
      <w:r>
        <w:rPr>
          <w:rFonts w:ascii="Times New Roman" w:eastAsia="楷体" w:hAnsi="Times New Roman" w:hint="eastAsia"/>
          <w:sz w:val="22"/>
        </w:rPr>
        <w:t>并设计相应的操作、观察、体验过程，以</w:t>
      </w:r>
      <w:r>
        <w:rPr>
          <w:rFonts w:ascii="Times New Roman" w:eastAsia="楷体" w:hAnsi="Times New Roman"/>
          <w:sz w:val="22"/>
        </w:rPr>
        <w:t>让</w:t>
      </w:r>
      <w:r>
        <w:rPr>
          <w:rFonts w:ascii="Times New Roman" w:eastAsia="楷体" w:hAnsi="Times New Roman" w:hint="eastAsia"/>
          <w:sz w:val="22"/>
        </w:rPr>
        <w:t>受众</w:t>
      </w:r>
      <w:r>
        <w:rPr>
          <w:rFonts w:ascii="Times New Roman" w:eastAsia="楷体" w:hAnsi="Times New Roman"/>
          <w:sz w:val="22"/>
        </w:rPr>
        <w:t>更加清晰地进行</w:t>
      </w:r>
      <w:r>
        <w:rPr>
          <w:rFonts w:ascii="Times New Roman" w:eastAsia="楷体" w:hAnsi="Times New Roman" w:hint="eastAsia"/>
          <w:sz w:val="22"/>
        </w:rPr>
        <w:t>探究和认知。本文根据认知理论并结合具体案例分析了科技馆展品辅导为什么要“分解</w:t>
      </w:r>
      <w:r>
        <w:rPr>
          <w:rFonts w:ascii="Times New Roman" w:eastAsia="楷体" w:hAnsi="Times New Roman" w:hint="eastAsia"/>
          <w:sz w:val="22"/>
        </w:rPr>
        <w:t>-</w:t>
      </w:r>
      <w:r>
        <w:rPr>
          <w:rFonts w:ascii="Times New Roman" w:eastAsia="楷体" w:hAnsi="Times New Roman" w:hint="eastAsia"/>
          <w:sz w:val="22"/>
        </w:rPr>
        <w:t>体验”、需要什么样的“分解</w:t>
      </w:r>
      <w:r>
        <w:rPr>
          <w:rFonts w:ascii="Times New Roman" w:eastAsia="楷体" w:hAnsi="Times New Roman" w:hint="eastAsia"/>
          <w:sz w:val="22"/>
        </w:rPr>
        <w:t>-</w:t>
      </w:r>
      <w:r>
        <w:rPr>
          <w:rFonts w:ascii="Times New Roman" w:eastAsia="楷体" w:hAnsi="Times New Roman" w:hint="eastAsia"/>
          <w:sz w:val="22"/>
        </w:rPr>
        <w:t>体验”、如何针对不同类型展品进行“分解</w:t>
      </w:r>
      <w:r>
        <w:rPr>
          <w:rFonts w:ascii="Times New Roman" w:eastAsia="楷体" w:hAnsi="Times New Roman" w:hint="eastAsia"/>
          <w:sz w:val="22"/>
        </w:rPr>
        <w:t>-</w:t>
      </w:r>
      <w:r>
        <w:rPr>
          <w:rFonts w:ascii="Times New Roman" w:eastAsia="楷体" w:hAnsi="Times New Roman" w:hint="eastAsia"/>
          <w:sz w:val="22"/>
        </w:rPr>
        <w:t>体验”从而获得“认知”。</w:t>
      </w:r>
    </w:p>
    <w:p w:rsidR="000946D6" w:rsidRDefault="0084638D">
      <w:pPr>
        <w:spacing w:beforeLines="50" w:before="156" w:line="400" w:lineRule="exact"/>
        <w:rPr>
          <w:rFonts w:ascii="Times New Roman" w:eastAsia="楷体" w:hAnsi="Times New Roman"/>
          <w:sz w:val="22"/>
        </w:rPr>
      </w:pPr>
      <w:r>
        <w:rPr>
          <w:rFonts w:asciiTheme="majorEastAsia" w:eastAsiaTheme="majorEastAsia" w:hAnsiTheme="majorEastAsia" w:hint="eastAsia"/>
          <w:sz w:val="22"/>
        </w:rPr>
        <w:t>【</w:t>
      </w:r>
      <w:r>
        <w:rPr>
          <w:rFonts w:ascii="黑体" w:eastAsia="黑体" w:hAnsi="黑体" w:hint="eastAsia"/>
          <w:sz w:val="22"/>
        </w:rPr>
        <w:t>关键词</w:t>
      </w:r>
      <w:r>
        <w:rPr>
          <w:rFonts w:asciiTheme="majorEastAsia" w:eastAsiaTheme="majorEastAsia" w:hAnsiTheme="majorEastAsia" w:hint="eastAsia"/>
          <w:sz w:val="22"/>
        </w:rPr>
        <w:t>】</w:t>
      </w:r>
      <w:r>
        <w:rPr>
          <w:rFonts w:ascii="Times New Roman" w:eastAsia="楷体" w:hAnsi="Times New Roman" w:hint="eastAsia"/>
          <w:sz w:val="22"/>
        </w:rPr>
        <w:t>科技馆；展品辅导；探究式学习；分解</w:t>
      </w:r>
      <w:r>
        <w:rPr>
          <w:rFonts w:ascii="Times New Roman" w:eastAsia="楷体" w:hAnsi="Times New Roman" w:hint="eastAsia"/>
          <w:sz w:val="22"/>
        </w:rPr>
        <w:t>-</w:t>
      </w:r>
      <w:r>
        <w:rPr>
          <w:rFonts w:ascii="Times New Roman" w:eastAsia="楷体" w:hAnsi="Times New Roman" w:hint="eastAsia"/>
          <w:sz w:val="22"/>
        </w:rPr>
        <w:t>体验</w:t>
      </w:r>
      <w:r>
        <w:rPr>
          <w:rFonts w:ascii="Times New Roman" w:eastAsia="楷体" w:hAnsi="Times New Roman" w:hint="eastAsia"/>
          <w:sz w:val="22"/>
        </w:rPr>
        <w:t>-</w:t>
      </w:r>
      <w:r>
        <w:rPr>
          <w:rFonts w:ascii="Times New Roman" w:eastAsia="楷体" w:hAnsi="Times New Roman" w:hint="eastAsia"/>
          <w:sz w:val="22"/>
        </w:rPr>
        <w:t>认知</w:t>
      </w:r>
    </w:p>
    <w:p w:rsidR="000946D6" w:rsidRDefault="000946D6">
      <w:pPr>
        <w:spacing w:line="360" w:lineRule="exact"/>
        <w:jc w:val="left"/>
        <w:rPr>
          <w:rFonts w:ascii="宋体" w:hAnsi="宋体" w:cs="仿宋_GB2312"/>
          <w:sz w:val="24"/>
          <w:szCs w:val="24"/>
        </w:rPr>
      </w:pPr>
    </w:p>
    <w:p w:rsidR="000946D6" w:rsidRDefault="0084638D">
      <w:pPr>
        <w:jc w:val="center"/>
        <w:rPr>
          <w:rFonts w:ascii="Times New Roman" w:hAnsi="Times New Roman"/>
          <w:b/>
          <w:sz w:val="30"/>
          <w:szCs w:val="30"/>
        </w:rPr>
      </w:pPr>
      <w:r>
        <w:rPr>
          <w:rFonts w:ascii="Times New Roman" w:hAnsi="Times New Roman"/>
          <w:b/>
          <w:sz w:val="30"/>
          <w:szCs w:val="30"/>
        </w:rPr>
        <w:t>“Dividing – Experience –</w:t>
      </w:r>
      <w:r>
        <w:rPr>
          <w:rFonts w:ascii="Times New Roman" w:hAnsi="Times New Roman"/>
          <w:b/>
          <w:sz w:val="30"/>
          <w:szCs w:val="30"/>
        </w:rPr>
        <w:t xml:space="preserve"> Cognition”</w:t>
      </w:r>
    </w:p>
    <w:p w:rsidR="000946D6" w:rsidRDefault="0084638D">
      <w:pPr>
        <w:jc w:val="center"/>
        <w:rPr>
          <w:rFonts w:ascii="Times New Roman" w:hAnsi="Times New Roman"/>
          <w:sz w:val="24"/>
          <w:szCs w:val="24"/>
        </w:rPr>
      </w:pPr>
      <w:r>
        <w:rPr>
          <w:rFonts w:ascii="Times New Roman" w:hAnsi="Times New Roman"/>
          <w:sz w:val="24"/>
          <w:szCs w:val="24"/>
        </w:rPr>
        <w:t xml:space="preserve">——The Strategy of Inquiry Educational Activities Based on </w:t>
      </w:r>
      <w:r>
        <w:rPr>
          <w:rFonts w:ascii="Times New Roman" w:hAnsi="Times New Roman" w:hint="eastAsia"/>
          <w:sz w:val="24"/>
          <w:szCs w:val="24"/>
        </w:rPr>
        <w:t>t</w:t>
      </w:r>
      <w:r>
        <w:rPr>
          <w:rFonts w:ascii="Times New Roman" w:hAnsi="Times New Roman"/>
          <w:sz w:val="24"/>
          <w:szCs w:val="24"/>
        </w:rPr>
        <w:t xml:space="preserve">he Exhibits </w:t>
      </w:r>
    </w:p>
    <w:p w:rsidR="000946D6" w:rsidRDefault="0084638D">
      <w:pPr>
        <w:spacing w:afterLines="50" w:after="156" w:line="360" w:lineRule="exact"/>
        <w:jc w:val="center"/>
        <w:rPr>
          <w:rFonts w:ascii="Times New Roman" w:hAnsi="Times New Roman"/>
          <w:sz w:val="24"/>
          <w:szCs w:val="24"/>
        </w:rPr>
      </w:pPr>
      <w:r>
        <w:rPr>
          <w:rFonts w:ascii="Times New Roman" w:hAnsi="Times New Roman"/>
          <w:sz w:val="24"/>
          <w:szCs w:val="24"/>
        </w:rPr>
        <w:t>Chen Chuang</w:t>
      </w:r>
    </w:p>
    <w:p w:rsidR="000946D6" w:rsidRDefault="0084638D">
      <w:pPr>
        <w:spacing w:line="400" w:lineRule="exact"/>
        <w:rPr>
          <w:rFonts w:ascii="Times New Roman" w:hAnsi="Times New Roman"/>
          <w:sz w:val="22"/>
        </w:rPr>
      </w:pPr>
      <w:r>
        <w:rPr>
          <w:rFonts w:ascii="Times New Roman" w:hAnsi="Times New Roman"/>
          <w:b/>
          <w:sz w:val="22"/>
        </w:rPr>
        <w:t>Abstract</w:t>
      </w:r>
      <w:r>
        <w:rPr>
          <w:rFonts w:ascii="Times New Roman" w:hAnsi="Times New Roman" w:hint="eastAsia"/>
          <w:sz w:val="22"/>
        </w:rPr>
        <w:t>：</w:t>
      </w:r>
      <w:r>
        <w:rPr>
          <w:rFonts w:ascii="Times New Roman" w:hAnsi="Times New Roman"/>
          <w:sz w:val="22"/>
        </w:rPr>
        <w:t xml:space="preserve">Carrying out the inquiry educational activities based on the exhibits in science and technology museums is an important means to guide the audience effectively </w:t>
      </w:r>
      <w:r>
        <w:rPr>
          <w:rFonts w:ascii="Times New Roman" w:hAnsi="Times New Roman" w:hint="eastAsia"/>
          <w:sz w:val="22"/>
        </w:rPr>
        <w:t xml:space="preserve">to get their own </w:t>
      </w:r>
      <w:r>
        <w:rPr>
          <w:rFonts w:ascii="Times New Roman" w:hAnsi="Times New Roman"/>
          <w:sz w:val="22"/>
        </w:rPr>
        <w:t>experience</w:t>
      </w:r>
      <w:r>
        <w:rPr>
          <w:rFonts w:ascii="Times New Roman" w:hAnsi="Times New Roman" w:hint="eastAsia"/>
          <w:sz w:val="22"/>
        </w:rPr>
        <w:t xml:space="preserve"> of</w:t>
      </w:r>
      <w:r>
        <w:rPr>
          <w:rFonts w:ascii="Times New Roman" w:hAnsi="Times New Roman"/>
          <w:sz w:val="22"/>
        </w:rPr>
        <w:t xml:space="preserve"> the exhibits and help them achieve cognition. In practice, we hav</w:t>
      </w:r>
      <w:r>
        <w:rPr>
          <w:rFonts w:ascii="Times New Roman" w:hAnsi="Times New Roman"/>
          <w:sz w:val="22"/>
        </w:rPr>
        <w:t>e summed up a new idea of developing inquiry educational activities which ha</w:t>
      </w:r>
      <w:r>
        <w:rPr>
          <w:rFonts w:ascii="Times New Roman" w:hAnsi="Times New Roman" w:hint="eastAsia"/>
          <w:sz w:val="22"/>
        </w:rPr>
        <w:t>ve</w:t>
      </w:r>
      <w:r>
        <w:rPr>
          <w:rFonts w:ascii="Times New Roman" w:hAnsi="Times New Roman"/>
          <w:sz w:val="22"/>
        </w:rPr>
        <w:t xml:space="preserve"> the characteristics of "dividing-experience-cognition".</w:t>
      </w:r>
      <w:r>
        <w:rPr>
          <w:rFonts w:ascii="Times New Roman" w:hAnsi="Times New Roman" w:hint="eastAsia"/>
          <w:sz w:val="22"/>
        </w:rPr>
        <w:t xml:space="preserve"> </w:t>
      </w:r>
      <w:r>
        <w:rPr>
          <w:rFonts w:ascii="Times New Roman" w:hAnsi="Times New Roman"/>
          <w:sz w:val="22"/>
        </w:rPr>
        <w:t xml:space="preserve">It is a way to </w:t>
      </w:r>
      <w:r>
        <w:rPr>
          <w:rFonts w:ascii="Times New Roman" w:hAnsi="Times New Roman" w:hint="eastAsia"/>
          <w:sz w:val="22"/>
        </w:rPr>
        <w:t>guide</w:t>
      </w:r>
      <w:r>
        <w:rPr>
          <w:rFonts w:ascii="Times New Roman" w:hAnsi="Times New Roman"/>
          <w:sz w:val="22"/>
        </w:rPr>
        <w:t xml:space="preserve"> the audience </w:t>
      </w:r>
      <w:r>
        <w:rPr>
          <w:rFonts w:ascii="Times New Roman" w:hAnsi="Times New Roman" w:hint="eastAsia"/>
          <w:sz w:val="22"/>
        </w:rPr>
        <w:t xml:space="preserve">to </w:t>
      </w:r>
      <w:r>
        <w:rPr>
          <w:rFonts w:ascii="Times New Roman" w:hAnsi="Times New Roman"/>
          <w:sz w:val="22"/>
        </w:rPr>
        <w:t>explore and achieve cognition clearly by dividing</w:t>
      </w:r>
      <w:r>
        <w:rPr>
          <w:rFonts w:ascii="Times New Roman" w:hAnsi="Times New Roman" w:hint="eastAsia"/>
          <w:sz w:val="22"/>
        </w:rPr>
        <w:t xml:space="preserve"> </w:t>
      </w:r>
      <w:r>
        <w:rPr>
          <w:rFonts w:ascii="Times New Roman" w:hAnsi="Times New Roman"/>
          <w:sz w:val="22"/>
        </w:rPr>
        <w:t>the phenomenon, the process or</w:t>
      </w:r>
      <w:r>
        <w:rPr>
          <w:rFonts w:ascii="Times New Roman" w:hAnsi="Times New Roman" w:hint="eastAsia"/>
          <w:sz w:val="22"/>
        </w:rPr>
        <w:t xml:space="preserve"> </w:t>
      </w:r>
      <w:r>
        <w:rPr>
          <w:rFonts w:ascii="Times New Roman" w:hAnsi="Times New Roman"/>
          <w:sz w:val="22"/>
        </w:rPr>
        <w:t>the</w:t>
      </w:r>
      <w:r>
        <w:rPr>
          <w:rFonts w:ascii="Times New Roman" w:hAnsi="Times New Roman"/>
          <w:sz w:val="22"/>
        </w:rPr>
        <w:t xml:space="preserve"> operation of the exhibits and designing the experiential learning context accordingly. This </w:t>
      </w:r>
      <w:r>
        <w:rPr>
          <w:rFonts w:ascii="Times New Roman" w:hAnsi="Times New Roman" w:hint="eastAsia"/>
          <w:sz w:val="22"/>
        </w:rPr>
        <w:t>paper</w:t>
      </w:r>
      <w:r>
        <w:rPr>
          <w:rFonts w:ascii="Times New Roman" w:hAnsi="Times New Roman"/>
          <w:sz w:val="22"/>
        </w:rPr>
        <w:t xml:space="preserve"> will analyze the necessity of </w:t>
      </w:r>
      <w:r>
        <w:rPr>
          <w:rFonts w:ascii="Times New Roman" w:hAnsi="Times New Roman" w:hint="eastAsia"/>
          <w:sz w:val="22"/>
        </w:rPr>
        <w:t>“</w:t>
      </w:r>
      <w:r>
        <w:rPr>
          <w:rFonts w:ascii="Times New Roman" w:hAnsi="Times New Roman"/>
          <w:sz w:val="22"/>
        </w:rPr>
        <w:t>dividing-experience</w:t>
      </w:r>
      <w:r>
        <w:rPr>
          <w:rFonts w:ascii="Times New Roman" w:hAnsi="Times New Roman" w:hint="eastAsia"/>
          <w:sz w:val="22"/>
        </w:rPr>
        <w:t>”</w:t>
      </w:r>
      <w:r>
        <w:rPr>
          <w:rFonts w:ascii="Times New Roman" w:hAnsi="Times New Roman"/>
          <w:sz w:val="22"/>
        </w:rPr>
        <w:t xml:space="preserve">, </w:t>
      </w:r>
      <w:r>
        <w:rPr>
          <w:rFonts w:ascii="Times New Roman" w:hAnsi="Times New Roman" w:hint="eastAsia"/>
          <w:sz w:val="22"/>
        </w:rPr>
        <w:t>the types</w:t>
      </w:r>
      <w:r>
        <w:rPr>
          <w:rFonts w:ascii="Times New Roman" w:hAnsi="Times New Roman"/>
          <w:sz w:val="22"/>
        </w:rPr>
        <w:t xml:space="preserve"> of </w:t>
      </w:r>
      <w:r>
        <w:rPr>
          <w:rFonts w:ascii="Times New Roman" w:hAnsi="Times New Roman" w:hint="eastAsia"/>
          <w:sz w:val="22"/>
        </w:rPr>
        <w:t>“</w:t>
      </w:r>
      <w:r>
        <w:rPr>
          <w:rFonts w:ascii="Times New Roman" w:hAnsi="Times New Roman"/>
          <w:sz w:val="22"/>
        </w:rPr>
        <w:t>dividing-experience</w:t>
      </w:r>
      <w:r>
        <w:rPr>
          <w:rFonts w:ascii="Times New Roman" w:hAnsi="Times New Roman" w:hint="eastAsia"/>
          <w:sz w:val="22"/>
        </w:rPr>
        <w:t>”</w:t>
      </w:r>
      <w:r>
        <w:rPr>
          <w:rFonts w:ascii="Times New Roman" w:hAnsi="Times New Roman"/>
          <w:sz w:val="22"/>
        </w:rPr>
        <w:t xml:space="preserve">we need and how to use the method of </w:t>
      </w:r>
      <w:r>
        <w:rPr>
          <w:rFonts w:ascii="Times New Roman" w:hAnsi="Times New Roman" w:hint="eastAsia"/>
          <w:sz w:val="22"/>
        </w:rPr>
        <w:t>“</w:t>
      </w:r>
      <w:r>
        <w:rPr>
          <w:rFonts w:ascii="Times New Roman" w:hAnsi="Times New Roman"/>
          <w:sz w:val="22"/>
        </w:rPr>
        <w:t>dividing-experience</w:t>
      </w:r>
      <w:r>
        <w:rPr>
          <w:rFonts w:ascii="Times New Roman" w:hAnsi="Times New Roman" w:hint="eastAsia"/>
          <w:sz w:val="22"/>
        </w:rPr>
        <w:t>”</w:t>
      </w:r>
      <w:r>
        <w:rPr>
          <w:rFonts w:ascii="Times New Roman" w:hAnsi="Times New Roman"/>
          <w:sz w:val="22"/>
        </w:rPr>
        <w:t>to improve c</w:t>
      </w:r>
      <w:r>
        <w:rPr>
          <w:rFonts w:ascii="Times New Roman" w:hAnsi="Times New Roman"/>
          <w:sz w:val="22"/>
        </w:rPr>
        <w:t>ognitive effect according to cognitive theory and the specific cases.</w:t>
      </w:r>
    </w:p>
    <w:p w:rsidR="000946D6" w:rsidRDefault="0084638D">
      <w:pPr>
        <w:spacing w:beforeLines="50" w:before="156" w:line="400" w:lineRule="exact"/>
        <w:jc w:val="left"/>
        <w:rPr>
          <w:rFonts w:ascii="Times New Roman" w:hAnsi="Times New Roman"/>
          <w:sz w:val="22"/>
        </w:rPr>
      </w:pPr>
      <w:r>
        <w:rPr>
          <w:rFonts w:ascii="Times New Roman" w:hAnsi="Times New Roman"/>
          <w:b/>
          <w:sz w:val="22"/>
        </w:rPr>
        <w:lastRenderedPageBreak/>
        <w:t>Keywords</w:t>
      </w:r>
      <w:r>
        <w:rPr>
          <w:rFonts w:ascii="Times New Roman" w:hAnsi="Times New Roman" w:hint="eastAsia"/>
          <w:sz w:val="22"/>
        </w:rPr>
        <w:t>：</w:t>
      </w:r>
      <w:r>
        <w:rPr>
          <w:rFonts w:ascii="Times New Roman" w:hAnsi="Times New Roman"/>
          <w:sz w:val="22"/>
        </w:rPr>
        <w:t>science and technology museum</w:t>
      </w:r>
      <w:r>
        <w:rPr>
          <w:rFonts w:ascii="Times New Roman" w:hAnsi="Times New Roman" w:hint="eastAsia"/>
          <w:sz w:val="22"/>
        </w:rPr>
        <w:t xml:space="preserve">, </w:t>
      </w:r>
      <w:r>
        <w:rPr>
          <w:rFonts w:ascii="Times New Roman" w:hAnsi="Times New Roman"/>
          <w:sz w:val="22"/>
        </w:rPr>
        <w:t>exhibition tutoring</w:t>
      </w:r>
      <w:r>
        <w:rPr>
          <w:rFonts w:ascii="Times New Roman" w:hAnsi="Times New Roman" w:hint="eastAsia"/>
          <w:sz w:val="22"/>
        </w:rPr>
        <w:t xml:space="preserve">, </w:t>
      </w:r>
      <w:r>
        <w:rPr>
          <w:rFonts w:ascii="Times New Roman" w:hAnsi="Times New Roman"/>
          <w:sz w:val="22"/>
        </w:rPr>
        <w:t>inquiry learning</w:t>
      </w:r>
      <w:r>
        <w:rPr>
          <w:rFonts w:ascii="Times New Roman" w:hAnsi="Times New Roman" w:hint="eastAsia"/>
          <w:sz w:val="22"/>
        </w:rPr>
        <w:t xml:space="preserve">, </w:t>
      </w:r>
      <w:r>
        <w:rPr>
          <w:rFonts w:ascii="Times New Roman" w:hAnsi="Times New Roman"/>
          <w:sz w:val="22"/>
        </w:rPr>
        <w:t>dividing - experience – cognition</w:t>
      </w:r>
    </w:p>
    <w:p w:rsidR="000946D6" w:rsidRDefault="000946D6">
      <w:pPr>
        <w:spacing w:beforeLines="50" w:before="156" w:line="400" w:lineRule="exact"/>
        <w:jc w:val="left"/>
        <w:rPr>
          <w:rFonts w:ascii="宋体" w:hAnsi="宋体"/>
          <w:sz w:val="22"/>
          <w:lang w:val="zh-TW"/>
        </w:rPr>
      </w:pPr>
    </w:p>
    <w:p w:rsidR="000946D6" w:rsidRDefault="0084638D">
      <w:pPr>
        <w:spacing w:line="400" w:lineRule="exact"/>
        <w:ind w:firstLineChars="200" w:firstLine="440"/>
        <w:rPr>
          <w:rFonts w:ascii="宋体" w:hAnsi="宋体"/>
          <w:sz w:val="22"/>
          <w:lang w:val="zh-TW"/>
        </w:rPr>
      </w:pPr>
      <w:r>
        <w:rPr>
          <w:rFonts w:ascii="宋体" w:hAnsi="宋体"/>
          <w:sz w:val="22"/>
          <w:lang w:val="zh-TW"/>
        </w:rPr>
        <w:t>展品和教育活动是科技馆实现教育功能的重要载体，参与体验型展品为受众创设了学习情境，提供了探究式学习的工具，是课堂教</w:t>
      </w:r>
      <w:r>
        <w:rPr>
          <w:rFonts w:ascii="宋体" w:hAnsi="宋体" w:hint="eastAsia"/>
          <w:sz w:val="22"/>
          <w:lang w:val="zh-TW"/>
        </w:rPr>
        <w:t>学</w:t>
      </w:r>
      <w:r>
        <w:rPr>
          <w:rFonts w:ascii="宋体" w:hAnsi="宋体"/>
          <w:sz w:val="22"/>
          <w:lang w:val="zh-TW"/>
        </w:rPr>
        <w:t>所不具备的特色教育资源</w:t>
      </w:r>
      <w:r>
        <w:rPr>
          <w:rFonts w:ascii="宋体" w:hAnsi="宋体" w:hint="eastAsia"/>
          <w:sz w:val="22"/>
          <w:lang w:val="zh-TW"/>
        </w:rPr>
        <w:t>。</w:t>
      </w:r>
      <w:r>
        <w:rPr>
          <w:rFonts w:ascii="宋体" w:hAnsi="宋体"/>
          <w:sz w:val="22"/>
          <w:lang w:val="zh-TW"/>
        </w:rPr>
        <w:t>因此</w:t>
      </w:r>
      <w:r>
        <w:rPr>
          <w:rFonts w:ascii="宋体" w:hAnsi="宋体" w:hint="eastAsia"/>
          <w:sz w:val="22"/>
          <w:lang w:val="zh-TW"/>
        </w:rPr>
        <w:t>，</w:t>
      </w:r>
      <w:r>
        <w:rPr>
          <w:rFonts w:ascii="宋体" w:hAnsi="宋体"/>
          <w:sz w:val="22"/>
          <w:lang w:val="zh-TW"/>
        </w:rPr>
        <w:t>科技馆</w:t>
      </w:r>
      <w:r>
        <w:rPr>
          <w:rFonts w:ascii="宋体" w:hAnsi="宋体" w:hint="eastAsia"/>
          <w:sz w:val="22"/>
          <w:lang w:val="zh-TW"/>
        </w:rPr>
        <w:t>基于展品</w:t>
      </w:r>
      <w:r>
        <w:rPr>
          <w:rFonts w:ascii="宋体" w:hAnsi="宋体"/>
          <w:sz w:val="22"/>
          <w:lang w:val="zh-TW"/>
        </w:rPr>
        <w:t>的</w:t>
      </w:r>
      <w:r>
        <w:rPr>
          <w:rFonts w:ascii="宋体" w:hAnsi="宋体"/>
          <w:sz w:val="22"/>
          <w:lang w:val="zh-TW"/>
        </w:rPr>
        <w:t>“</w:t>
      </w:r>
      <w:r>
        <w:rPr>
          <w:rFonts w:ascii="宋体" w:hAnsi="宋体"/>
          <w:sz w:val="22"/>
          <w:lang w:val="zh-TW"/>
        </w:rPr>
        <w:t>做中学</w:t>
      </w:r>
      <w:r>
        <w:rPr>
          <w:rFonts w:ascii="宋体" w:hAnsi="宋体"/>
          <w:sz w:val="22"/>
          <w:lang w:val="zh-TW"/>
        </w:rPr>
        <w:t>”</w:t>
      </w:r>
      <w:r>
        <w:rPr>
          <w:rFonts w:ascii="宋体" w:hAnsi="宋体"/>
          <w:sz w:val="22"/>
          <w:lang w:val="zh-TW"/>
        </w:rPr>
        <w:t>更有利于受众获得直接经验，在教育模式等方面</w:t>
      </w:r>
      <w:r>
        <w:rPr>
          <w:rFonts w:ascii="宋体" w:hAnsi="宋体" w:hint="eastAsia"/>
          <w:sz w:val="22"/>
          <w:lang w:val="zh-TW"/>
        </w:rPr>
        <w:t>具</w:t>
      </w:r>
      <w:r>
        <w:rPr>
          <w:rFonts w:ascii="宋体" w:hAnsi="宋体"/>
          <w:sz w:val="22"/>
          <w:lang w:val="zh-TW"/>
        </w:rPr>
        <w:t>有一定独特性：没有课堂教</w:t>
      </w:r>
      <w:r>
        <w:rPr>
          <w:rFonts w:ascii="宋体" w:hAnsi="宋体" w:hint="eastAsia"/>
          <w:sz w:val="22"/>
          <w:lang w:val="zh-TW"/>
        </w:rPr>
        <w:t>学</w:t>
      </w:r>
      <w:r>
        <w:rPr>
          <w:rFonts w:ascii="宋体" w:hAnsi="宋体"/>
          <w:sz w:val="22"/>
          <w:lang w:val="zh-TW"/>
        </w:rPr>
        <w:t>中</w:t>
      </w:r>
      <w:r>
        <w:rPr>
          <w:rFonts w:ascii="宋体" w:hAnsi="宋体" w:hint="eastAsia"/>
          <w:sz w:val="22"/>
          <w:lang w:val="zh-TW"/>
        </w:rPr>
        <w:t>的</w:t>
      </w:r>
      <w:r>
        <w:rPr>
          <w:rFonts w:ascii="宋体" w:hAnsi="宋体"/>
          <w:sz w:val="22"/>
          <w:lang w:val="zh-TW"/>
        </w:rPr>
        <w:t>长课时、系统性讲</w:t>
      </w:r>
      <w:r>
        <w:rPr>
          <w:rFonts w:ascii="宋体" w:hAnsi="宋体" w:hint="eastAsia"/>
          <w:sz w:val="22"/>
          <w:lang w:val="zh-TW"/>
        </w:rPr>
        <w:t>授</w:t>
      </w:r>
      <w:r>
        <w:rPr>
          <w:rFonts w:ascii="宋体" w:hAnsi="宋体"/>
          <w:sz w:val="22"/>
          <w:lang w:val="zh-TW"/>
        </w:rPr>
        <w:t>和较强组织约束力等特点，教</w:t>
      </w:r>
      <w:r>
        <w:rPr>
          <w:rFonts w:ascii="宋体" w:hAnsi="宋体" w:hint="eastAsia"/>
          <w:sz w:val="22"/>
          <w:lang w:val="zh-TW"/>
        </w:rPr>
        <w:t>学</w:t>
      </w:r>
      <w:r>
        <w:rPr>
          <w:rFonts w:ascii="宋体" w:hAnsi="宋体"/>
          <w:sz w:val="22"/>
          <w:lang w:val="zh-TW"/>
        </w:rPr>
        <w:t>模式也不是脱离</w:t>
      </w:r>
      <w:r>
        <w:rPr>
          <w:rFonts w:ascii="宋体" w:hAnsi="宋体" w:hint="eastAsia"/>
          <w:sz w:val="22"/>
          <w:lang w:val="zh-TW"/>
        </w:rPr>
        <w:t>实物资源</w:t>
      </w:r>
      <w:r>
        <w:rPr>
          <w:rFonts w:ascii="宋体" w:hAnsi="宋体"/>
          <w:sz w:val="22"/>
          <w:lang w:val="zh-TW"/>
        </w:rPr>
        <w:t>的灌输式讲解；而是要充分利用展品资源，依托展品开展探究式教育，引导受众有效体验展品、辅助受众认知建构，最终让受众通过</w:t>
      </w:r>
      <w:r>
        <w:rPr>
          <w:rFonts w:ascii="宋体" w:hAnsi="宋体" w:hint="eastAsia"/>
          <w:sz w:val="22"/>
          <w:lang w:val="zh-TW"/>
        </w:rPr>
        <w:t>“</w:t>
      </w:r>
      <w:r>
        <w:rPr>
          <w:rFonts w:ascii="宋体" w:hAnsi="宋体"/>
          <w:sz w:val="22"/>
          <w:lang w:val="zh-TW"/>
        </w:rPr>
        <w:t>做中学</w:t>
      </w:r>
      <w:r>
        <w:rPr>
          <w:rFonts w:ascii="宋体" w:hAnsi="宋体" w:hint="eastAsia"/>
          <w:sz w:val="22"/>
          <w:lang w:val="zh-TW"/>
        </w:rPr>
        <w:t>”</w:t>
      </w:r>
      <w:r>
        <w:rPr>
          <w:rFonts w:ascii="宋体" w:hAnsi="宋体"/>
          <w:sz w:val="22"/>
          <w:lang w:val="zh-TW"/>
        </w:rPr>
        <w:t>获得认知。</w:t>
      </w:r>
    </w:p>
    <w:p w:rsidR="000946D6" w:rsidRDefault="0084638D">
      <w:pPr>
        <w:spacing w:line="400" w:lineRule="exact"/>
        <w:ind w:firstLineChars="200" w:firstLine="440"/>
        <w:rPr>
          <w:rFonts w:ascii="宋体" w:hAnsi="宋体"/>
          <w:sz w:val="22"/>
          <w:lang w:val="zh-TW"/>
        </w:rPr>
      </w:pPr>
      <w:r>
        <w:rPr>
          <w:rFonts w:ascii="宋体" w:hAnsi="宋体" w:hint="eastAsia"/>
          <w:sz w:val="22"/>
          <w:lang w:val="zh-TW"/>
        </w:rPr>
        <w:t>……</w:t>
      </w:r>
    </w:p>
    <w:p w:rsidR="000946D6" w:rsidRDefault="0084638D">
      <w:pPr>
        <w:spacing w:beforeLines="100" w:before="312" w:line="400" w:lineRule="exact"/>
        <w:ind w:firstLineChars="200" w:firstLine="442"/>
        <w:jc w:val="left"/>
        <w:rPr>
          <w:rFonts w:ascii="黑体" w:eastAsia="黑体" w:hAnsi="黑体"/>
          <w:b/>
          <w:sz w:val="22"/>
          <w:lang w:val="zh-TW"/>
        </w:rPr>
      </w:pPr>
      <w:r>
        <w:rPr>
          <w:rFonts w:ascii="黑体" w:eastAsia="黑体" w:hAnsi="黑体"/>
          <w:b/>
          <w:sz w:val="22"/>
          <w:lang w:val="zh-CN"/>
        </w:rPr>
        <w:t>一、</w:t>
      </w:r>
      <w:r>
        <w:rPr>
          <w:rFonts w:ascii="黑体" w:eastAsia="黑体" w:hAnsi="黑体"/>
          <w:b/>
          <w:sz w:val="22"/>
          <w:lang w:eastAsia="zh-TW"/>
        </w:rPr>
        <w:t>“</w:t>
      </w:r>
      <w:r>
        <w:rPr>
          <w:rFonts w:ascii="黑体" w:eastAsia="黑体" w:hAnsi="黑体"/>
          <w:b/>
          <w:sz w:val="22"/>
          <w:lang w:val="zh-TW" w:eastAsia="zh-TW"/>
        </w:rPr>
        <w:t>分解</w:t>
      </w:r>
      <w:r>
        <w:rPr>
          <w:rFonts w:ascii="黑体" w:eastAsia="黑体" w:hAnsi="黑体"/>
          <w:b/>
          <w:sz w:val="22"/>
          <w:lang w:eastAsia="zh-TW"/>
        </w:rPr>
        <w:t>-</w:t>
      </w:r>
      <w:r>
        <w:rPr>
          <w:rFonts w:ascii="黑体" w:eastAsia="黑体" w:hAnsi="黑体"/>
          <w:b/>
          <w:sz w:val="22"/>
          <w:lang w:val="zh-TW" w:eastAsia="zh-TW"/>
        </w:rPr>
        <w:t>体验</w:t>
      </w:r>
      <w:r>
        <w:rPr>
          <w:rFonts w:ascii="黑体" w:eastAsia="黑体" w:hAnsi="黑体"/>
          <w:b/>
          <w:sz w:val="22"/>
          <w:lang w:eastAsia="zh-TW"/>
        </w:rPr>
        <w:t>”</w:t>
      </w:r>
      <w:r>
        <w:rPr>
          <w:rFonts w:ascii="黑体" w:eastAsia="黑体" w:hAnsi="黑体"/>
          <w:b/>
          <w:sz w:val="22"/>
          <w:lang w:val="zh-TW" w:eastAsia="zh-TW"/>
        </w:rPr>
        <w:t>的必要性</w:t>
      </w:r>
    </w:p>
    <w:p w:rsidR="000946D6" w:rsidRDefault="0084638D">
      <w:pPr>
        <w:spacing w:line="400" w:lineRule="exact"/>
        <w:ind w:firstLineChars="200" w:firstLine="442"/>
        <w:jc w:val="left"/>
        <w:rPr>
          <w:rFonts w:ascii="宋体" w:hAnsi="宋体"/>
          <w:b/>
          <w:sz w:val="22"/>
          <w:lang w:val="zh-TW"/>
        </w:rPr>
      </w:pPr>
      <w:r>
        <w:rPr>
          <w:rFonts w:ascii="宋体" w:hAnsi="宋体" w:hint="eastAsia"/>
          <w:b/>
          <w:sz w:val="22"/>
          <w:lang w:val="zh-TW"/>
        </w:rPr>
        <w:t>（一）</w:t>
      </w:r>
      <w:r>
        <w:rPr>
          <w:rFonts w:ascii="宋体" w:hAnsi="宋体"/>
          <w:b/>
          <w:sz w:val="22"/>
          <w:lang w:val="zh-TW"/>
        </w:rPr>
        <w:t>为什么要</w:t>
      </w:r>
      <w:r>
        <w:rPr>
          <w:rFonts w:ascii="宋体" w:hAnsi="宋体"/>
          <w:b/>
          <w:sz w:val="22"/>
          <w:lang w:val="zh-TW"/>
        </w:rPr>
        <w:t>“</w:t>
      </w:r>
      <w:r>
        <w:rPr>
          <w:rFonts w:ascii="宋体" w:hAnsi="宋体"/>
          <w:b/>
          <w:sz w:val="22"/>
          <w:lang w:val="zh-TW"/>
        </w:rPr>
        <w:t>分解</w:t>
      </w:r>
      <w:r>
        <w:rPr>
          <w:rFonts w:ascii="宋体" w:hAnsi="宋体"/>
          <w:b/>
          <w:sz w:val="22"/>
          <w:lang w:val="zh-TW"/>
        </w:rPr>
        <w:t>”</w:t>
      </w:r>
      <w:r>
        <w:rPr>
          <w:rFonts w:ascii="宋体" w:hAnsi="宋体"/>
          <w:b/>
          <w:sz w:val="22"/>
          <w:lang w:val="zh-TW"/>
        </w:rPr>
        <w:t>？</w:t>
      </w:r>
    </w:p>
    <w:p w:rsidR="000946D6" w:rsidRDefault="0084638D">
      <w:pPr>
        <w:spacing w:line="400" w:lineRule="exact"/>
        <w:ind w:firstLineChars="200" w:firstLine="440"/>
        <w:rPr>
          <w:rFonts w:ascii="宋体" w:hAnsi="宋体"/>
          <w:sz w:val="22"/>
          <w:lang w:val="zh-TW"/>
        </w:rPr>
      </w:pPr>
      <w:r>
        <w:rPr>
          <w:rFonts w:ascii="宋体" w:hAnsi="宋体"/>
          <w:sz w:val="22"/>
          <w:lang w:val="zh-TW" w:eastAsia="zh-TW"/>
        </w:rPr>
        <w:t>笔者</w:t>
      </w:r>
      <w:r>
        <w:rPr>
          <w:rFonts w:ascii="Times New Roman" w:hAnsi="Times New Roman"/>
          <w:sz w:val="22"/>
          <w:lang w:val="zh-CN"/>
        </w:rPr>
        <w:t>在</w:t>
      </w:r>
      <w:r>
        <w:rPr>
          <w:rFonts w:ascii="Times New Roman" w:hAnsi="Times New Roman"/>
          <w:sz w:val="22"/>
        </w:rPr>
        <w:t>2014</w:t>
      </w:r>
      <w:r>
        <w:rPr>
          <w:rFonts w:ascii="Times New Roman" w:hAnsi="Times New Roman"/>
          <w:sz w:val="22"/>
          <w:lang w:val="zh-TW" w:eastAsia="zh-TW"/>
        </w:rPr>
        <w:t>年</w:t>
      </w:r>
      <w:r>
        <w:rPr>
          <w:rFonts w:ascii="宋体" w:hAnsi="宋体"/>
          <w:sz w:val="22"/>
          <w:lang w:val="zh-TW" w:eastAsia="zh-TW"/>
        </w:rPr>
        <w:t>度</w:t>
      </w:r>
      <w:r>
        <w:rPr>
          <w:rFonts w:ascii="宋体" w:hAnsi="宋体"/>
          <w:sz w:val="22"/>
        </w:rPr>
        <w:t>“</w:t>
      </w:r>
      <w:r>
        <w:rPr>
          <w:rFonts w:ascii="宋体" w:hAnsi="宋体"/>
          <w:sz w:val="22"/>
          <w:lang w:val="zh-TW" w:eastAsia="zh-TW"/>
        </w:rPr>
        <w:t>中国科协研究生科普能力提升项目</w:t>
      </w:r>
      <w:r>
        <w:rPr>
          <w:rFonts w:ascii="宋体" w:hAnsi="宋体"/>
          <w:sz w:val="22"/>
        </w:rPr>
        <w:t>”</w:t>
      </w:r>
      <w:r>
        <w:rPr>
          <w:rFonts w:ascii="宋体" w:hAnsi="宋体"/>
          <w:sz w:val="22"/>
          <w:lang w:val="zh-TW" w:eastAsia="zh-TW"/>
        </w:rPr>
        <w:t>教育活动开发方向的</w:t>
      </w:r>
      <w:r>
        <w:rPr>
          <w:rFonts w:ascii="宋体" w:hAnsi="宋体"/>
          <w:sz w:val="22"/>
          <w:lang w:val="zh-CN"/>
        </w:rPr>
        <w:t>研究课题中</w:t>
      </w:r>
      <w:r>
        <w:rPr>
          <w:rFonts w:ascii="宋体" w:hAnsi="宋体"/>
          <w:sz w:val="22"/>
          <w:lang w:val="zh-TW" w:eastAsia="zh-TW"/>
        </w:rPr>
        <w:t>，依托中国科技馆</w:t>
      </w:r>
      <w:r>
        <w:rPr>
          <w:rFonts w:ascii="宋体" w:hAnsi="宋体"/>
          <w:sz w:val="22"/>
        </w:rPr>
        <w:t>“</w:t>
      </w:r>
      <w:r>
        <w:rPr>
          <w:rFonts w:ascii="宋体" w:hAnsi="宋体"/>
          <w:sz w:val="22"/>
          <w:lang w:val="zh-TW" w:eastAsia="zh-TW"/>
        </w:rPr>
        <w:t>探索与发现</w:t>
      </w:r>
      <w:r>
        <w:rPr>
          <w:rFonts w:ascii="宋体" w:hAnsi="宋体"/>
          <w:sz w:val="22"/>
        </w:rPr>
        <w:t>”</w:t>
      </w:r>
      <w:r>
        <w:rPr>
          <w:rFonts w:ascii="Times New Roman" w:hAnsi="Times New Roman"/>
          <w:sz w:val="22"/>
        </w:rPr>
        <w:t>A</w:t>
      </w:r>
      <w:r>
        <w:rPr>
          <w:rFonts w:ascii="宋体" w:hAnsi="宋体"/>
          <w:sz w:val="22"/>
          <w:lang w:val="zh-TW" w:eastAsia="zh-TW"/>
        </w:rPr>
        <w:t>厅</w:t>
      </w:r>
      <w:r>
        <w:rPr>
          <w:rFonts w:ascii="宋体" w:hAnsi="宋体"/>
          <w:sz w:val="22"/>
        </w:rPr>
        <w:t>“</w:t>
      </w:r>
      <w:r>
        <w:rPr>
          <w:rFonts w:ascii="宋体" w:hAnsi="宋体"/>
          <w:sz w:val="22"/>
          <w:lang w:val="zh-TW" w:eastAsia="zh-TW"/>
        </w:rPr>
        <w:t>旋转的金蛋</w:t>
      </w:r>
      <w:r>
        <w:rPr>
          <w:rFonts w:ascii="宋体" w:hAnsi="宋体"/>
          <w:sz w:val="22"/>
        </w:rPr>
        <w:t>”</w:t>
      </w:r>
      <w:r>
        <w:rPr>
          <w:rFonts w:ascii="宋体" w:hAnsi="宋体"/>
          <w:sz w:val="22"/>
          <w:lang w:val="zh-TW" w:eastAsia="zh-TW"/>
        </w:rPr>
        <w:t>展项，开发了一套探究式学习教育活动方案</w:t>
      </w:r>
      <w:r>
        <w:rPr>
          <w:rFonts w:ascii="宋体" w:hAnsi="宋体" w:hint="eastAsia"/>
          <w:sz w:val="22"/>
          <w:lang w:val="zh-TW"/>
        </w:rPr>
        <w:t>。</w:t>
      </w:r>
      <w:r>
        <w:rPr>
          <w:rFonts w:ascii="宋体" w:hAnsi="宋体"/>
          <w:sz w:val="22"/>
          <w:lang w:val="zh-CN"/>
        </w:rPr>
        <w:t>通过前期对受众</w:t>
      </w:r>
      <w:r>
        <w:rPr>
          <w:rFonts w:ascii="宋体" w:hAnsi="宋体" w:hint="eastAsia"/>
          <w:sz w:val="22"/>
          <w:lang w:val="zh-CN"/>
        </w:rPr>
        <w:t>参观</w:t>
      </w:r>
      <w:r>
        <w:rPr>
          <w:rFonts w:ascii="宋体" w:hAnsi="宋体"/>
          <w:sz w:val="22"/>
          <w:lang w:val="zh-CN"/>
        </w:rPr>
        <w:t>展品情况的调查发现，受众</w:t>
      </w:r>
      <w:r>
        <w:rPr>
          <w:rFonts w:ascii="宋体" w:hAnsi="宋体" w:hint="eastAsia"/>
          <w:sz w:val="22"/>
          <w:lang w:val="zh-CN"/>
        </w:rPr>
        <w:t>往往只是注意到了金属蛋旋转起来这种有趣的现象，并没有认识到这是三相异步电动机的模型，不能正确解释金属蛋为什么会旋转起来的原理，没有达到预期的认知效果。究其原因，很大程度上是由于该</w:t>
      </w:r>
      <w:r>
        <w:rPr>
          <w:rFonts w:ascii="宋体" w:hAnsi="宋体"/>
          <w:sz w:val="22"/>
          <w:lang w:val="zh-CN"/>
        </w:rPr>
        <w:t>展品</w:t>
      </w:r>
      <w:r>
        <w:rPr>
          <w:rFonts w:ascii="宋体" w:hAnsi="宋体"/>
          <w:sz w:val="22"/>
          <w:lang w:val="zh-TW" w:eastAsia="zh-TW"/>
        </w:rPr>
        <w:t>所产生的现象是</w:t>
      </w:r>
      <w:r>
        <w:rPr>
          <w:rFonts w:ascii="宋体" w:hAnsi="宋体"/>
          <w:sz w:val="22"/>
          <w:lang w:val="zh-CN"/>
        </w:rPr>
        <w:t>由</w:t>
      </w:r>
      <w:r>
        <w:rPr>
          <w:rFonts w:ascii="宋体" w:hAnsi="宋体" w:hint="eastAsia"/>
          <w:sz w:val="22"/>
          <w:lang w:val="zh-CN"/>
        </w:rPr>
        <w:t>“电流磁效应”“安培力”“电磁感应”“涡电流”等</w:t>
      </w:r>
      <w:r>
        <w:rPr>
          <w:rFonts w:ascii="宋体" w:hAnsi="宋体"/>
          <w:sz w:val="22"/>
          <w:lang w:val="zh-TW" w:eastAsia="zh-TW"/>
        </w:rPr>
        <w:t>多种科学原理共同作用下产生的</w:t>
      </w:r>
      <w:r>
        <w:rPr>
          <w:rFonts w:ascii="宋体" w:hAnsi="宋体"/>
          <w:sz w:val="22"/>
          <w:lang w:val="zh-CN"/>
        </w:rPr>
        <w:t>，</w:t>
      </w:r>
      <w:r>
        <w:rPr>
          <w:rFonts w:ascii="宋体" w:hAnsi="宋体"/>
          <w:sz w:val="22"/>
          <w:lang w:val="zh-TW" w:eastAsia="zh-TW"/>
        </w:rPr>
        <w:t>使观众</w:t>
      </w:r>
      <w:r>
        <w:rPr>
          <w:rFonts w:ascii="宋体" w:hAnsi="宋体" w:hint="eastAsia"/>
          <w:sz w:val="22"/>
          <w:lang w:val="zh-TW"/>
        </w:rPr>
        <w:t>既</w:t>
      </w:r>
      <w:r>
        <w:rPr>
          <w:rFonts w:ascii="宋体" w:hAnsi="宋体"/>
          <w:sz w:val="22"/>
          <w:lang w:val="zh-TW" w:eastAsia="zh-TW"/>
        </w:rPr>
        <w:t>难以感知和分辨</w:t>
      </w:r>
      <w:r>
        <w:rPr>
          <w:rFonts w:ascii="宋体" w:hAnsi="宋体" w:hint="eastAsia"/>
          <w:sz w:val="22"/>
          <w:lang w:val="zh-TW"/>
        </w:rPr>
        <w:t>，更难以实现认知</w:t>
      </w:r>
      <w:r>
        <w:rPr>
          <w:rFonts w:ascii="宋体" w:hAnsi="宋体"/>
          <w:sz w:val="22"/>
          <w:lang w:val="zh-CN"/>
        </w:rPr>
        <w:t>。</w:t>
      </w:r>
    </w:p>
    <w:p w:rsidR="000946D6" w:rsidRDefault="0084638D">
      <w:pPr>
        <w:spacing w:line="400" w:lineRule="exact"/>
        <w:ind w:firstLineChars="200" w:firstLine="440"/>
        <w:rPr>
          <w:rFonts w:ascii="宋体" w:hAnsi="宋体"/>
          <w:sz w:val="22"/>
          <w:lang w:val="zh-TW"/>
        </w:rPr>
      </w:pPr>
      <w:r>
        <w:rPr>
          <w:rFonts w:ascii="宋体" w:hAnsi="宋体" w:hint="eastAsia"/>
          <w:sz w:val="22"/>
          <w:lang w:val="zh-CN"/>
        </w:rPr>
        <w:t>……</w:t>
      </w:r>
    </w:p>
    <w:p w:rsidR="000946D6" w:rsidRDefault="0084638D">
      <w:pPr>
        <w:spacing w:line="400" w:lineRule="exact"/>
        <w:ind w:firstLine="482"/>
        <w:rPr>
          <w:rFonts w:ascii="Times New Roman" w:hAnsi="Times New Roman"/>
          <w:sz w:val="22"/>
        </w:rPr>
      </w:pPr>
      <w:r>
        <w:rPr>
          <w:rFonts w:ascii="宋体" w:hAnsi="宋体" w:hint="eastAsia"/>
          <w:sz w:val="22"/>
        </w:rPr>
        <w:t>收集到的学习单来自三个方面：一是馆内收集，二是同行提供，三是网络下载；从中</w:t>
      </w:r>
      <w:r>
        <w:rPr>
          <w:rFonts w:ascii="Times New Roman" w:hAnsi="Times New Roman"/>
          <w:sz w:val="22"/>
        </w:rPr>
        <w:t>兼顾选取世界上较为著名</w:t>
      </w:r>
      <w:r>
        <w:rPr>
          <w:rFonts w:ascii="Times New Roman" w:hAnsi="Times New Roman" w:hint="eastAsia"/>
          <w:sz w:val="22"/>
        </w:rPr>
        <w:t>的</w:t>
      </w:r>
      <w:r>
        <w:rPr>
          <w:rFonts w:ascii="Times New Roman" w:hAnsi="Times New Roman"/>
          <w:sz w:val="22"/>
        </w:rPr>
        <w:t>科技馆和一些小型科技馆的学习单</w:t>
      </w:r>
      <w:r>
        <w:rPr>
          <w:rFonts w:ascii="Times New Roman" w:hAnsi="Times New Roman" w:hint="eastAsia"/>
          <w:sz w:val="22"/>
        </w:rPr>
        <w:t>，共计</w:t>
      </w:r>
      <w:r>
        <w:rPr>
          <w:rFonts w:ascii="Times New Roman" w:hAnsi="Times New Roman" w:hint="eastAsia"/>
          <w:sz w:val="22"/>
        </w:rPr>
        <w:t>6</w:t>
      </w:r>
      <w:r>
        <w:rPr>
          <w:rFonts w:ascii="Times New Roman" w:hAnsi="Times New Roman" w:hint="eastAsia"/>
          <w:sz w:val="22"/>
        </w:rPr>
        <w:t>份</w:t>
      </w:r>
      <w:r>
        <w:rPr>
          <w:rFonts w:ascii="Times New Roman" w:hAnsi="Times New Roman"/>
          <w:sz w:val="22"/>
        </w:rPr>
        <w:t>进行</w:t>
      </w:r>
      <w:r>
        <w:rPr>
          <w:rFonts w:ascii="Times New Roman" w:hAnsi="Times New Roman" w:hint="eastAsia"/>
          <w:sz w:val="22"/>
        </w:rPr>
        <w:t>案</w:t>
      </w:r>
      <w:r>
        <w:rPr>
          <w:rFonts w:ascii="Times New Roman" w:hAnsi="Times New Roman"/>
          <w:sz w:val="22"/>
        </w:rPr>
        <w:t>例分析。笔者将主要对</w:t>
      </w:r>
      <w:r>
        <w:rPr>
          <w:rFonts w:ascii="Times New Roman" w:hAnsi="Times New Roman"/>
          <w:sz w:val="22"/>
        </w:rPr>
        <w:t>6</w:t>
      </w:r>
      <w:r>
        <w:rPr>
          <w:rFonts w:ascii="Times New Roman" w:hAnsi="Times New Roman"/>
          <w:sz w:val="22"/>
        </w:rPr>
        <w:t>份学习单样例进行分析</w:t>
      </w:r>
      <w:r>
        <w:rPr>
          <w:rFonts w:ascii="Times New Roman" w:hAnsi="Times New Roman" w:hint="eastAsia"/>
          <w:sz w:val="22"/>
        </w:rPr>
        <w:t>（见</w:t>
      </w:r>
      <w:r>
        <w:rPr>
          <w:rFonts w:ascii="Times New Roman" w:hAnsi="Times New Roman"/>
          <w:sz w:val="22"/>
        </w:rPr>
        <w:t>表</w:t>
      </w:r>
      <w:r>
        <w:rPr>
          <w:rFonts w:ascii="Times New Roman" w:hAnsi="Times New Roman" w:hint="eastAsia"/>
          <w:sz w:val="22"/>
        </w:rPr>
        <w:t>1</w:t>
      </w:r>
      <w:r>
        <w:rPr>
          <w:rFonts w:ascii="Times New Roman" w:hAnsi="Times New Roman" w:hint="eastAsia"/>
          <w:sz w:val="22"/>
        </w:rPr>
        <w:t>）</w:t>
      </w:r>
      <w:r>
        <w:rPr>
          <w:rFonts w:ascii="Times New Roman" w:hAnsi="Times New Roman"/>
          <w:sz w:val="22"/>
        </w:rPr>
        <w:t>：</w:t>
      </w:r>
    </w:p>
    <w:p w:rsidR="000946D6" w:rsidRDefault="0084638D">
      <w:pPr>
        <w:spacing w:beforeLines="100" w:before="312" w:afterLines="50" w:after="156" w:line="400" w:lineRule="exact"/>
        <w:ind w:firstLineChars="200" w:firstLine="442"/>
        <w:jc w:val="center"/>
        <w:rPr>
          <w:rFonts w:ascii="Times New Roman" w:eastAsia="仿宋" w:hAnsi="Times New Roman"/>
          <w:b/>
          <w:sz w:val="22"/>
        </w:rPr>
      </w:pPr>
      <w:r>
        <w:rPr>
          <w:rFonts w:ascii="Times New Roman" w:eastAsia="仿宋" w:hAnsi="Times New Roman"/>
          <w:b/>
          <w:sz w:val="22"/>
        </w:rPr>
        <w:t>表</w:t>
      </w:r>
      <w:r>
        <w:rPr>
          <w:rFonts w:ascii="Times New Roman" w:eastAsia="仿宋" w:hAnsi="Times New Roman"/>
          <w:b/>
          <w:sz w:val="22"/>
        </w:rPr>
        <w:t xml:space="preserve">1  </w:t>
      </w:r>
      <w:r>
        <w:rPr>
          <w:rFonts w:ascii="Times New Roman" w:eastAsia="仿宋" w:hAnsi="Times New Roman"/>
          <w:b/>
          <w:sz w:val="22"/>
        </w:rPr>
        <w:t>学习单</w:t>
      </w:r>
      <w:r>
        <w:rPr>
          <w:rFonts w:ascii="Times New Roman" w:eastAsia="仿宋" w:hAnsi="Times New Roman" w:hint="eastAsia"/>
          <w:b/>
          <w:sz w:val="22"/>
        </w:rPr>
        <w:t>案</w:t>
      </w:r>
      <w:r>
        <w:rPr>
          <w:rFonts w:ascii="Times New Roman" w:eastAsia="仿宋" w:hAnsi="Times New Roman"/>
          <w:b/>
          <w:sz w:val="22"/>
        </w:rPr>
        <w:t>例分析样本来源</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768"/>
        <w:gridCol w:w="1276"/>
        <w:gridCol w:w="2693"/>
        <w:gridCol w:w="2693"/>
      </w:tblGrid>
      <w:tr w:rsidR="000946D6">
        <w:trPr>
          <w:trHeight w:val="510"/>
          <w:jc w:val="center"/>
        </w:trPr>
        <w:tc>
          <w:tcPr>
            <w:tcW w:w="768" w:type="dxa"/>
            <w:vAlign w:val="center"/>
          </w:tcPr>
          <w:p w:rsidR="000946D6" w:rsidRDefault="0084638D">
            <w:pPr>
              <w:jc w:val="center"/>
              <w:rPr>
                <w:rFonts w:ascii="Times New Roman" w:eastAsia="仿宋" w:hAnsi="Times New Roman"/>
                <w:b/>
                <w:szCs w:val="21"/>
              </w:rPr>
            </w:pPr>
            <w:r>
              <w:rPr>
                <w:rFonts w:ascii="Times New Roman" w:eastAsia="仿宋" w:hAnsi="Times New Roman"/>
                <w:b/>
                <w:szCs w:val="21"/>
              </w:rPr>
              <w:t>编号</w:t>
            </w:r>
          </w:p>
        </w:tc>
        <w:tc>
          <w:tcPr>
            <w:tcW w:w="1276" w:type="dxa"/>
            <w:vAlign w:val="center"/>
          </w:tcPr>
          <w:p w:rsidR="000946D6" w:rsidRDefault="0084638D">
            <w:pPr>
              <w:jc w:val="center"/>
              <w:rPr>
                <w:rFonts w:ascii="Times New Roman" w:eastAsia="仿宋" w:hAnsi="Times New Roman"/>
                <w:b/>
                <w:szCs w:val="21"/>
              </w:rPr>
            </w:pPr>
            <w:r>
              <w:rPr>
                <w:rFonts w:ascii="Times New Roman" w:eastAsia="仿宋" w:hAnsi="Times New Roman"/>
                <w:b/>
                <w:szCs w:val="21"/>
              </w:rPr>
              <w:t>国家</w:t>
            </w:r>
            <w:r>
              <w:rPr>
                <w:rFonts w:ascii="Times New Roman" w:eastAsia="仿宋" w:hAnsi="Times New Roman" w:hint="eastAsia"/>
                <w:b/>
                <w:szCs w:val="21"/>
              </w:rPr>
              <w:t>/</w:t>
            </w:r>
            <w:r>
              <w:rPr>
                <w:rFonts w:ascii="Times New Roman" w:eastAsia="仿宋" w:hAnsi="Times New Roman"/>
                <w:b/>
                <w:szCs w:val="21"/>
              </w:rPr>
              <w:t>地区</w:t>
            </w:r>
          </w:p>
        </w:tc>
        <w:tc>
          <w:tcPr>
            <w:tcW w:w="2693" w:type="dxa"/>
            <w:vAlign w:val="center"/>
          </w:tcPr>
          <w:p w:rsidR="000946D6" w:rsidRDefault="0084638D">
            <w:pPr>
              <w:jc w:val="center"/>
              <w:rPr>
                <w:rFonts w:ascii="Times New Roman" w:eastAsia="仿宋" w:hAnsi="Times New Roman"/>
                <w:b/>
                <w:szCs w:val="21"/>
              </w:rPr>
            </w:pPr>
            <w:r>
              <w:rPr>
                <w:rFonts w:ascii="Times New Roman" w:eastAsia="仿宋" w:hAnsi="Times New Roman"/>
                <w:b/>
                <w:szCs w:val="21"/>
              </w:rPr>
              <w:t>场馆名称</w:t>
            </w:r>
          </w:p>
        </w:tc>
        <w:tc>
          <w:tcPr>
            <w:tcW w:w="2693" w:type="dxa"/>
            <w:vAlign w:val="center"/>
          </w:tcPr>
          <w:p w:rsidR="000946D6" w:rsidRDefault="0084638D">
            <w:pPr>
              <w:jc w:val="center"/>
              <w:rPr>
                <w:rFonts w:ascii="Times New Roman" w:eastAsia="仿宋" w:hAnsi="Times New Roman"/>
                <w:b/>
                <w:szCs w:val="21"/>
              </w:rPr>
            </w:pPr>
            <w:r>
              <w:rPr>
                <w:rFonts w:ascii="Times New Roman" w:eastAsia="仿宋" w:hAnsi="Times New Roman"/>
                <w:b/>
                <w:szCs w:val="21"/>
              </w:rPr>
              <w:t>学习单名称</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1</w:t>
            </w:r>
          </w:p>
        </w:tc>
        <w:tc>
          <w:tcPr>
            <w:tcW w:w="1276" w:type="dxa"/>
            <w:vMerge w:val="restart"/>
            <w:vAlign w:val="center"/>
          </w:tcPr>
          <w:p w:rsidR="000946D6" w:rsidRDefault="0084638D">
            <w:pPr>
              <w:jc w:val="center"/>
              <w:rPr>
                <w:rFonts w:ascii="Times New Roman" w:eastAsia="仿宋" w:hAnsi="Times New Roman"/>
                <w:szCs w:val="21"/>
              </w:rPr>
            </w:pPr>
            <w:r>
              <w:rPr>
                <w:rFonts w:ascii="Times New Roman" w:eastAsia="仿宋" w:hAnsi="Times New Roman"/>
                <w:szCs w:val="21"/>
              </w:rPr>
              <w:t>中国大陆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A</w:t>
            </w:r>
            <w:r>
              <w:rPr>
                <w:rFonts w:ascii="Times New Roman" w:eastAsia="仿宋" w:hAnsi="Times New Roman"/>
                <w:szCs w:val="21"/>
              </w:rPr>
              <w:t>场馆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奇妙的力</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2</w:t>
            </w:r>
          </w:p>
        </w:tc>
        <w:tc>
          <w:tcPr>
            <w:tcW w:w="1276" w:type="dxa"/>
            <w:vMerge/>
            <w:vAlign w:val="center"/>
          </w:tcPr>
          <w:p w:rsidR="000946D6" w:rsidRDefault="000946D6">
            <w:pPr>
              <w:jc w:val="center"/>
              <w:rPr>
                <w:rFonts w:ascii="Times New Roman" w:eastAsia="仿宋" w:hAnsi="Times New Roman"/>
                <w:b/>
                <w:sz w:val="44"/>
                <w:szCs w:val="21"/>
              </w:rPr>
            </w:pP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B</w:t>
            </w:r>
            <w:r>
              <w:rPr>
                <w:rFonts w:ascii="Times New Roman" w:eastAsia="仿宋" w:hAnsi="Times New Roman"/>
                <w:szCs w:val="21"/>
              </w:rPr>
              <w:t>场馆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航天梦想</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3</w:t>
            </w:r>
          </w:p>
        </w:tc>
        <w:tc>
          <w:tcPr>
            <w:tcW w:w="1276"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中国台湾</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关渡自然公园</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我的自然笔记</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4</w:t>
            </w:r>
          </w:p>
        </w:tc>
        <w:tc>
          <w:tcPr>
            <w:tcW w:w="1276" w:type="dxa"/>
            <w:vMerge w:val="restart"/>
            <w:vAlign w:val="center"/>
          </w:tcPr>
          <w:p w:rsidR="000946D6" w:rsidRDefault="0084638D">
            <w:pPr>
              <w:jc w:val="center"/>
              <w:rPr>
                <w:rFonts w:ascii="Times New Roman" w:eastAsia="仿宋" w:hAnsi="Times New Roman"/>
                <w:szCs w:val="21"/>
              </w:rPr>
            </w:pPr>
            <w:r>
              <w:rPr>
                <w:rFonts w:ascii="Times New Roman" w:eastAsia="仿宋" w:hAnsi="Times New Roman"/>
                <w:szCs w:val="21"/>
              </w:rPr>
              <w:t>美国</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美国旧金山探索馆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bCs/>
                <w:color w:val="000000"/>
                <w:szCs w:val="21"/>
              </w:rPr>
              <w:t>Looking Without Seeing</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lastRenderedPageBreak/>
              <w:t>5</w:t>
            </w:r>
          </w:p>
        </w:tc>
        <w:tc>
          <w:tcPr>
            <w:tcW w:w="1276" w:type="dxa"/>
            <w:vMerge/>
            <w:vAlign w:val="center"/>
          </w:tcPr>
          <w:p w:rsidR="000946D6" w:rsidRDefault="000946D6">
            <w:pPr>
              <w:jc w:val="center"/>
              <w:rPr>
                <w:rFonts w:ascii="Times New Roman" w:eastAsia="仿宋" w:hAnsi="Times New Roman"/>
                <w:b/>
                <w:sz w:val="44"/>
                <w:szCs w:val="21"/>
              </w:rPr>
            </w:pP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芝加哥科学工业博物馆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bCs/>
                <w:color w:val="000000"/>
                <w:szCs w:val="21"/>
              </w:rPr>
              <w:t>Simple Machines</w:t>
            </w:r>
          </w:p>
        </w:tc>
      </w:tr>
      <w:tr w:rsidR="000946D6">
        <w:trPr>
          <w:trHeight w:val="510"/>
          <w:jc w:val="center"/>
        </w:trPr>
        <w:tc>
          <w:tcPr>
            <w:tcW w:w="768"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lastRenderedPageBreak/>
              <w:t>6</w:t>
            </w:r>
          </w:p>
        </w:tc>
        <w:tc>
          <w:tcPr>
            <w:tcW w:w="1276" w:type="dxa"/>
            <w:vMerge/>
            <w:vAlign w:val="center"/>
          </w:tcPr>
          <w:p w:rsidR="000946D6" w:rsidRDefault="000946D6">
            <w:pPr>
              <w:jc w:val="center"/>
              <w:rPr>
                <w:rFonts w:ascii="Times New Roman" w:eastAsia="仿宋" w:hAnsi="Times New Roman"/>
                <w:b/>
                <w:sz w:val="44"/>
                <w:szCs w:val="21"/>
              </w:rPr>
            </w:pP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szCs w:val="21"/>
              </w:rPr>
              <w:t>芝加哥菲尔德博物馆</w:t>
            </w:r>
          </w:p>
        </w:tc>
        <w:tc>
          <w:tcPr>
            <w:tcW w:w="2693" w:type="dxa"/>
            <w:vAlign w:val="center"/>
          </w:tcPr>
          <w:p w:rsidR="000946D6" w:rsidRDefault="0084638D">
            <w:pPr>
              <w:jc w:val="center"/>
              <w:rPr>
                <w:rFonts w:ascii="Times New Roman" w:eastAsia="仿宋" w:hAnsi="Times New Roman"/>
                <w:szCs w:val="21"/>
              </w:rPr>
            </w:pPr>
            <w:r>
              <w:rPr>
                <w:rFonts w:ascii="Times New Roman" w:eastAsia="仿宋" w:hAnsi="Times New Roman"/>
                <w:bCs/>
                <w:color w:val="000000"/>
                <w:szCs w:val="21"/>
              </w:rPr>
              <w:t>Field trip planning guide</w:t>
            </w:r>
          </w:p>
        </w:tc>
      </w:tr>
    </w:tbl>
    <w:p w:rsidR="000946D6" w:rsidRDefault="0084638D">
      <w:pPr>
        <w:spacing w:beforeLines="100" w:before="312" w:line="400" w:lineRule="exact"/>
        <w:ind w:firstLineChars="200" w:firstLine="442"/>
        <w:rPr>
          <w:rFonts w:ascii="黑体" w:eastAsia="黑体" w:hAnsi="黑体"/>
          <w:b/>
          <w:sz w:val="22"/>
          <w:lang w:val="zh-CN"/>
        </w:rPr>
      </w:pPr>
      <w:r>
        <w:rPr>
          <w:rFonts w:ascii="黑体" w:eastAsia="黑体" w:hAnsi="黑体"/>
          <w:b/>
          <w:sz w:val="22"/>
          <w:lang w:val="zh-CN"/>
        </w:rPr>
        <w:t>二、</w:t>
      </w:r>
      <w:r>
        <w:rPr>
          <w:rFonts w:ascii="黑体" w:eastAsia="黑体" w:hAnsi="黑体"/>
          <w:b/>
          <w:sz w:val="22"/>
          <w:lang w:val="zh-CN"/>
        </w:rPr>
        <w:t>“</w:t>
      </w:r>
      <w:r>
        <w:rPr>
          <w:rFonts w:ascii="黑体" w:eastAsia="黑体" w:hAnsi="黑体"/>
          <w:b/>
          <w:sz w:val="22"/>
          <w:lang w:val="zh-CN"/>
        </w:rPr>
        <w:t>分解</w:t>
      </w:r>
      <w:r>
        <w:rPr>
          <w:rFonts w:ascii="黑体" w:eastAsia="黑体" w:hAnsi="黑体"/>
          <w:b/>
          <w:sz w:val="22"/>
          <w:lang w:val="zh-CN"/>
        </w:rPr>
        <w:t>-</w:t>
      </w:r>
      <w:r>
        <w:rPr>
          <w:rFonts w:ascii="黑体" w:eastAsia="黑体" w:hAnsi="黑体"/>
          <w:b/>
          <w:sz w:val="22"/>
          <w:lang w:val="zh-CN"/>
        </w:rPr>
        <w:t>体验</w:t>
      </w:r>
      <w:r>
        <w:rPr>
          <w:rFonts w:ascii="黑体" w:eastAsia="黑体" w:hAnsi="黑体"/>
          <w:b/>
          <w:sz w:val="22"/>
          <w:lang w:val="zh-CN"/>
        </w:rPr>
        <w:t>-</w:t>
      </w:r>
      <w:r>
        <w:rPr>
          <w:rFonts w:ascii="黑体" w:eastAsia="黑体" w:hAnsi="黑体"/>
          <w:b/>
          <w:sz w:val="22"/>
          <w:lang w:val="zh-CN"/>
        </w:rPr>
        <w:t>认知</w:t>
      </w:r>
      <w:r>
        <w:rPr>
          <w:rFonts w:ascii="黑体" w:eastAsia="黑体" w:hAnsi="黑体"/>
          <w:b/>
          <w:sz w:val="22"/>
          <w:lang w:val="zh-CN"/>
        </w:rPr>
        <w:t>”</w:t>
      </w:r>
      <w:r>
        <w:rPr>
          <w:rFonts w:ascii="黑体" w:eastAsia="黑体" w:hAnsi="黑体"/>
          <w:b/>
          <w:sz w:val="22"/>
          <w:lang w:val="zh-CN"/>
        </w:rPr>
        <w:t>的原则</w:t>
      </w:r>
    </w:p>
    <w:p w:rsidR="000946D6" w:rsidRDefault="0084638D">
      <w:pPr>
        <w:spacing w:line="400" w:lineRule="exact"/>
        <w:ind w:firstLineChars="200" w:firstLine="440"/>
        <w:rPr>
          <w:rFonts w:ascii="宋体" w:hAnsi="宋体"/>
          <w:sz w:val="22"/>
        </w:rPr>
      </w:pPr>
      <w:r>
        <w:rPr>
          <w:rFonts w:ascii="宋体" w:hAnsi="宋体"/>
          <w:sz w:val="22"/>
        </w:rPr>
        <w:t>“</w:t>
      </w:r>
      <w:r>
        <w:rPr>
          <w:rFonts w:ascii="宋体" w:hAnsi="宋体"/>
          <w:sz w:val="22"/>
        </w:rPr>
        <w:t>分解</w:t>
      </w:r>
      <w:r>
        <w:rPr>
          <w:rFonts w:ascii="宋体" w:hAnsi="宋体"/>
          <w:sz w:val="22"/>
        </w:rPr>
        <w:t>-</w:t>
      </w:r>
      <w:r>
        <w:rPr>
          <w:rFonts w:ascii="宋体" w:hAnsi="宋体"/>
          <w:sz w:val="22"/>
        </w:rPr>
        <w:t>体验</w:t>
      </w:r>
      <w:r>
        <w:rPr>
          <w:rFonts w:ascii="宋体" w:hAnsi="宋体"/>
          <w:sz w:val="22"/>
        </w:rPr>
        <w:t>”</w:t>
      </w:r>
      <w:r>
        <w:rPr>
          <w:rFonts w:ascii="宋体" w:hAnsi="宋体"/>
          <w:sz w:val="22"/>
        </w:rPr>
        <w:t>的根本目的是为了</w:t>
      </w:r>
      <w:r>
        <w:rPr>
          <w:rFonts w:ascii="宋体" w:hAnsi="宋体"/>
          <w:sz w:val="22"/>
        </w:rPr>
        <w:t>“</w:t>
      </w:r>
      <w:r>
        <w:rPr>
          <w:rFonts w:ascii="宋体" w:hAnsi="宋体"/>
          <w:sz w:val="22"/>
        </w:rPr>
        <w:t>认知</w:t>
      </w:r>
      <w:r>
        <w:rPr>
          <w:rFonts w:ascii="宋体" w:hAnsi="宋体"/>
          <w:sz w:val="22"/>
        </w:rPr>
        <w:t>”</w:t>
      </w:r>
      <w:r>
        <w:rPr>
          <w:rFonts w:ascii="宋体" w:hAnsi="宋体" w:hint="eastAsia"/>
          <w:sz w:val="22"/>
        </w:rPr>
        <w:t>，</w:t>
      </w:r>
      <w:r>
        <w:rPr>
          <w:rFonts w:ascii="宋体" w:hAnsi="宋体"/>
          <w:sz w:val="22"/>
        </w:rPr>
        <w:t>即</w:t>
      </w:r>
      <w:r>
        <w:rPr>
          <w:rFonts w:ascii="宋体" w:hAnsi="宋体" w:hint="eastAsia"/>
          <w:sz w:val="22"/>
        </w:rPr>
        <w:t>科技馆</w:t>
      </w:r>
      <w:r>
        <w:rPr>
          <w:rFonts w:ascii="宋体" w:hAnsi="宋体"/>
          <w:sz w:val="22"/>
        </w:rPr>
        <w:t>需要的是</w:t>
      </w:r>
      <w:r>
        <w:rPr>
          <w:rFonts w:ascii="宋体" w:hAnsi="宋体" w:hint="eastAsia"/>
          <w:sz w:val="22"/>
        </w:rPr>
        <w:t>可以</w:t>
      </w:r>
      <w:r>
        <w:rPr>
          <w:rFonts w:ascii="宋体" w:hAnsi="宋体"/>
          <w:sz w:val="22"/>
        </w:rPr>
        <w:t>导致探究、认知、获得直接经验的</w:t>
      </w:r>
      <w:r>
        <w:rPr>
          <w:rFonts w:ascii="宋体" w:hAnsi="宋体"/>
          <w:sz w:val="22"/>
        </w:rPr>
        <w:t>“</w:t>
      </w:r>
      <w:r>
        <w:rPr>
          <w:rFonts w:ascii="宋体" w:hAnsi="宋体"/>
          <w:sz w:val="22"/>
        </w:rPr>
        <w:t>分解</w:t>
      </w:r>
      <w:r>
        <w:rPr>
          <w:rFonts w:ascii="宋体" w:hAnsi="宋体"/>
          <w:sz w:val="22"/>
        </w:rPr>
        <w:t>-</w:t>
      </w:r>
      <w:r>
        <w:rPr>
          <w:rFonts w:ascii="宋体" w:hAnsi="宋体"/>
          <w:sz w:val="22"/>
        </w:rPr>
        <w:t>体验</w:t>
      </w:r>
      <w:r>
        <w:rPr>
          <w:rFonts w:ascii="宋体" w:hAnsi="宋体"/>
          <w:sz w:val="22"/>
        </w:rPr>
        <w:t>”</w:t>
      </w:r>
      <w:r>
        <w:rPr>
          <w:rFonts w:ascii="宋体" w:hAnsi="宋体"/>
          <w:sz w:val="22"/>
        </w:rPr>
        <w:t>，不是为</w:t>
      </w:r>
      <w:r>
        <w:rPr>
          <w:rFonts w:ascii="宋体" w:hAnsi="宋体" w:hint="eastAsia"/>
          <w:sz w:val="22"/>
        </w:rPr>
        <w:t>“分解”</w:t>
      </w:r>
      <w:r>
        <w:rPr>
          <w:rFonts w:ascii="宋体" w:hAnsi="宋体"/>
          <w:sz w:val="22"/>
        </w:rPr>
        <w:t>而分解</w:t>
      </w:r>
      <w:r>
        <w:rPr>
          <w:rFonts w:ascii="宋体" w:hAnsi="宋体" w:hint="eastAsia"/>
          <w:sz w:val="22"/>
        </w:rPr>
        <w:t>、</w:t>
      </w:r>
      <w:r>
        <w:rPr>
          <w:rFonts w:ascii="宋体" w:hAnsi="宋体"/>
          <w:sz w:val="22"/>
        </w:rPr>
        <w:t>为</w:t>
      </w:r>
      <w:r>
        <w:rPr>
          <w:rFonts w:ascii="宋体" w:hAnsi="宋体" w:hint="eastAsia"/>
          <w:sz w:val="22"/>
        </w:rPr>
        <w:t>“体验”</w:t>
      </w:r>
      <w:r>
        <w:rPr>
          <w:rFonts w:ascii="宋体" w:hAnsi="宋体"/>
          <w:sz w:val="22"/>
        </w:rPr>
        <w:t>而体验。</w:t>
      </w:r>
    </w:p>
    <w:p w:rsidR="000946D6" w:rsidRDefault="0084638D">
      <w:pPr>
        <w:spacing w:line="400" w:lineRule="exact"/>
        <w:ind w:firstLineChars="200" w:firstLine="440"/>
        <w:rPr>
          <w:rFonts w:ascii="宋体" w:hAnsi="宋体"/>
          <w:sz w:val="22"/>
        </w:rPr>
      </w:pPr>
      <w:r>
        <w:rPr>
          <w:rFonts w:ascii="宋体" w:hAnsi="宋体" w:hint="eastAsia"/>
          <w:sz w:val="22"/>
        </w:rPr>
        <w:t>什么样的“分解</w:t>
      </w:r>
      <w:r>
        <w:rPr>
          <w:rFonts w:ascii="宋体" w:hAnsi="宋体"/>
          <w:sz w:val="22"/>
        </w:rPr>
        <w:t>-</w:t>
      </w:r>
      <w:r>
        <w:rPr>
          <w:rFonts w:ascii="宋体" w:hAnsi="宋体"/>
          <w:sz w:val="22"/>
        </w:rPr>
        <w:t>体验</w:t>
      </w:r>
      <w:r>
        <w:rPr>
          <w:rFonts w:ascii="宋体" w:hAnsi="宋体"/>
          <w:sz w:val="22"/>
        </w:rPr>
        <w:t>”</w:t>
      </w:r>
      <w:r>
        <w:rPr>
          <w:rFonts w:ascii="宋体" w:hAnsi="宋体" w:hint="eastAsia"/>
          <w:sz w:val="22"/>
        </w:rPr>
        <w:t>能使受众有效地获得直接经验、</w:t>
      </w:r>
      <w:r>
        <w:rPr>
          <w:rFonts w:ascii="宋体" w:hAnsi="宋体"/>
          <w:sz w:val="22"/>
        </w:rPr>
        <w:t>最大程度地促进受众认知建构</w:t>
      </w:r>
      <w:r>
        <w:rPr>
          <w:rFonts w:ascii="宋体" w:hAnsi="宋体" w:hint="eastAsia"/>
          <w:sz w:val="22"/>
        </w:rPr>
        <w:t>？根据认知学习理论，“分解</w:t>
      </w:r>
      <w:r>
        <w:rPr>
          <w:rFonts w:ascii="宋体" w:hAnsi="宋体"/>
          <w:sz w:val="22"/>
        </w:rPr>
        <w:t>-</w:t>
      </w:r>
      <w:r>
        <w:rPr>
          <w:rFonts w:ascii="宋体" w:hAnsi="宋体"/>
          <w:sz w:val="22"/>
        </w:rPr>
        <w:t>体验</w:t>
      </w:r>
      <w:r>
        <w:rPr>
          <w:rFonts w:ascii="宋体" w:hAnsi="宋体"/>
          <w:sz w:val="22"/>
        </w:rPr>
        <w:t>”</w:t>
      </w:r>
      <w:r>
        <w:rPr>
          <w:rFonts w:ascii="宋体" w:hAnsi="宋体"/>
          <w:sz w:val="22"/>
        </w:rPr>
        <w:t>应遵循</w:t>
      </w:r>
      <w:r>
        <w:rPr>
          <w:rFonts w:ascii="宋体" w:hAnsi="宋体" w:hint="eastAsia"/>
          <w:sz w:val="22"/>
        </w:rPr>
        <w:t>以下原则：</w:t>
      </w:r>
    </w:p>
    <w:p w:rsidR="000946D6" w:rsidRDefault="0084638D">
      <w:pPr>
        <w:spacing w:line="400" w:lineRule="exact"/>
        <w:ind w:firstLineChars="200" w:firstLine="442"/>
        <w:rPr>
          <w:rFonts w:ascii="宋体" w:hAnsi="宋体"/>
          <w:b/>
          <w:sz w:val="22"/>
        </w:rPr>
      </w:pPr>
      <w:r>
        <w:rPr>
          <w:rFonts w:ascii="宋体" w:hAnsi="宋体" w:hint="eastAsia"/>
          <w:b/>
          <w:sz w:val="22"/>
        </w:rPr>
        <w:t>（一）根据受众原有的认知结构适度“分解”</w:t>
      </w:r>
    </w:p>
    <w:p w:rsidR="000946D6" w:rsidRDefault="0084638D">
      <w:pPr>
        <w:spacing w:line="400" w:lineRule="exact"/>
        <w:ind w:firstLineChars="200" w:firstLine="440"/>
        <w:rPr>
          <w:rFonts w:ascii="宋体" w:hAnsi="宋体"/>
          <w:sz w:val="22"/>
        </w:rPr>
      </w:pPr>
      <w:r>
        <w:rPr>
          <w:rFonts w:ascii="宋体" w:hAnsi="宋体"/>
          <w:sz w:val="22"/>
        </w:rPr>
        <w:t>皮亚杰</w:t>
      </w:r>
      <w:r>
        <w:rPr>
          <w:rFonts w:ascii="宋体" w:hAnsi="宋体" w:hint="eastAsia"/>
          <w:sz w:val="22"/>
        </w:rPr>
        <w:t>的认知发展理论认为，</w:t>
      </w:r>
      <w:r>
        <w:rPr>
          <w:rFonts w:ascii="宋体" w:hAnsi="宋体"/>
          <w:sz w:val="22"/>
        </w:rPr>
        <w:t>学习是学习者进行复杂的信息加工活动和认知建构的过程</w:t>
      </w:r>
      <w:r>
        <w:rPr>
          <w:rFonts w:ascii="宋体" w:hAnsi="宋体" w:hint="eastAsia"/>
          <w:sz w:val="22"/>
        </w:rPr>
        <w:t>，学习结果的本质是认知结构的重建。</w:t>
      </w:r>
      <w:r>
        <w:rPr>
          <w:rFonts w:ascii="Times New Roman" w:hAnsi="Times New Roman"/>
          <w:sz w:val="22"/>
          <w:vertAlign w:val="superscript"/>
        </w:rPr>
        <w:t>[2]</w:t>
      </w:r>
      <w:r>
        <w:rPr>
          <w:rFonts w:ascii="宋体" w:hAnsi="宋体" w:hint="eastAsia"/>
          <w:sz w:val="22"/>
        </w:rPr>
        <w:t>所谓的“认知结构”</w:t>
      </w:r>
      <w:r>
        <w:rPr>
          <w:rFonts w:ascii="宋体" w:hAnsi="宋体"/>
          <w:sz w:val="22"/>
        </w:rPr>
        <w:t>是指个体已形成的应付与处理学习情境或问题情境的内在经验系统，决定了人脑对信息客体的选择、整合和理解的方式。主体的认识活动是基于主体已有的认知结构发生的，已有的认知结构影响着主体所能认识的程度和学习的范围。</w:t>
      </w:r>
    </w:p>
    <w:p w:rsidR="000946D6" w:rsidRDefault="0084638D">
      <w:pPr>
        <w:spacing w:line="400" w:lineRule="exact"/>
        <w:ind w:firstLineChars="200" w:firstLine="440"/>
        <w:rPr>
          <w:rFonts w:ascii="宋体" w:hAnsi="宋体"/>
          <w:sz w:val="22"/>
        </w:rPr>
      </w:pPr>
      <w:r>
        <w:rPr>
          <w:rFonts w:ascii="宋体" w:hAnsi="宋体" w:hint="eastAsia"/>
          <w:sz w:val="22"/>
        </w:rPr>
        <w:t>……</w:t>
      </w:r>
    </w:p>
    <w:p w:rsidR="000946D6" w:rsidRDefault="0084638D">
      <w:pPr>
        <w:spacing w:line="400" w:lineRule="exact"/>
        <w:ind w:firstLineChars="200" w:firstLine="440"/>
        <w:rPr>
          <w:rFonts w:ascii="宋体" w:hAnsi="宋体"/>
          <w:sz w:val="22"/>
        </w:rPr>
      </w:pPr>
      <w:r>
        <w:rPr>
          <w:rFonts w:ascii="宋体" w:hAnsi="宋体" w:hint="eastAsia"/>
          <w:sz w:val="22"/>
        </w:rPr>
        <w:t>大多数科学展品本身并不包含信息，而是通过这些展品的组合来反映、模拟或可视化背后的现象，如明尼阿波利斯科学中心通过设计多个可视化的展品来呈现空气的流动，从而揭示空气动力学的原理（见图</w:t>
      </w:r>
      <w:r>
        <w:rPr>
          <w:rFonts w:ascii="宋体" w:hAnsi="宋体" w:hint="eastAsia"/>
          <w:sz w:val="22"/>
        </w:rPr>
        <w:t>1</w:t>
      </w:r>
      <w:r>
        <w:rPr>
          <w:rFonts w:ascii="宋体" w:hAnsi="宋体" w:hint="eastAsia"/>
          <w:sz w:val="22"/>
        </w:rPr>
        <w:t>）。</w:t>
      </w:r>
    </w:p>
    <w:p w:rsidR="000946D6" w:rsidRDefault="0084638D">
      <w:pPr>
        <w:spacing w:line="400" w:lineRule="exact"/>
        <w:ind w:firstLineChars="200" w:firstLine="440"/>
        <w:jc w:val="center"/>
        <w:rPr>
          <w:rFonts w:ascii="Times New Roman" w:eastAsia="仿宋" w:hAnsi="Times New Roman"/>
          <w:b/>
          <w:sz w:val="22"/>
          <w:szCs w:val="18"/>
        </w:rPr>
      </w:pPr>
      <w:r>
        <w:rPr>
          <w:rFonts w:ascii="宋体" w:hAnsi="宋体" w:hint="eastAsia"/>
          <w:noProof/>
          <w:sz w:val="22"/>
        </w:rPr>
        <w:drawing>
          <wp:anchor distT="0" distB="0" distL="114300" distR="114300" simplePos="0" relativeHeight="251659264" behindDoc="0" locked="0" layoutInCell="1" allowOverlap="1">
            <wp:simplePos x="0" y="0"/>
            <wp:positionH relativeFrom="column">
              <wp:posOffset>2155825</wp:posOffset>
            </wp:positionH>
            <wp:positionV relativeFrom="paragraph">
              <wp:posOffset>180340</wp:posOffset>
            </wp:positionV>
            <wp:extent cx="2095500" cy="1571625"/>
            <wp:effectExtent l="0" t="0" r="0" b="9525"/>
            <wp:wrapTopAndBottom/>
            <wp:docPr id="1" name="图片 1" descr="8546595310ee7a4fbf3c823c5ecebf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546595310ee7a4fbf3c823c5ecebfc3"/>
                    <pic:cNvPicPr>
                      <a:picLocks noChangeAspect="1"/>
                    </pic:cNvPicPr>
                  </pic:nvPicPr>
                  <pic:blipFill>
                    <a:blip r:embed="rId7"/>
                    <a:stretch>
                      <a:fillRect/>
                    </a:stretch>
                  </pic:blipFill>
                  <pic:spPr>
                    <a:xfrm>
                      <a:off x="0" y="0"/>
                      <a:ext cx="2095500" cy="1571625"/>
                    </a:xfrm>
                    <a:prstGeom prst="rect">
                      <a:avLst/>
                    </a:prstGeom>
                  </pic:spPr>
                </pic:pic>
              </a:graphicData>
            </a:graphic>
          </wp:anchor>
        </w:drawing>
      </w:r>
      <w:r>
        <w:rPr>
          <w:rFonts w:ascii="Times New Roman" w:eastAsia="仿宋" w:hAnsi="Times New Roman"/>
          <w:b/>
          <w:sz w:val="22"/>
          <w:szCs w:val="18"/>
        </w:rPr>
        <w:t>图</w:t>
      </w:r>
      <w:r>
        <w:rPr>
          <w:rFonts w:ascii="Times New Roman" w:eastAsia="仿宋" w:hAnsi="Times New Roman"/>
          <w:b/>
          <w:sz w:val="22"/>
          <w:szCs w:val="18"/>
        </w:rPr>
        <w:t>1</w:t>
      </w:r>
      <w:r>
        <w:rPr>
          <w:rFonts w:ascii="Times New Roman" w:eastAsia="仿宋" w:hAnsi="Times New Roman"/>
          <w:b/>
          <w:sz w:val="22"/>
          <w:szCs w:val="18"/>
        </w:rPr>
        <w:t>空气动力学原理揭示装置</w:t>
      </w:r>
    </w:p>
    <w:p w:rsidR="000946D6" w:rsidRDefault="000946D6">
      <w:pPr>
        <w:spacing w:line="400" w:lineRule="exact"/>
        <w:ind w:firstLineChars="200" w:firstLine="440"/>
        <w:rPr>
          <w:rFonts w:ascii="宋体" w:hAnsi="宋体"/>
          <w:sz w:val="22"/>
        </w:rPr>
      </w:pPr>
    </w:p>
    <w:p w:rsidR="000946D6" w:rsidRDefault="0084638D">
      <w:pPr>
        <w:spacing w:line="400" w:lineRule="exact"/>
        <w:ind w:firstLineChars="200" w:firstLine="440"/>
        <w:rPr>
          <w:rFonts w:ascii="宋体" w:hAnsi="宋体"/>
          <w:sz w:val="22"/>
        </w:rPr>
      </w:pPr>
      <w:r>
        <w:rPr>
          <w:rFonts w:ascii="宋体" w:hAnsi="宋体"/>
          <w:sz w:val="22"/>
        </w:rPr>
        <w:t>“</w:t>
      </w:r>
      <w:r>
        <w:rPr>
          <w:rFonts w:ascii="宋体" w:hAnsi="宋体"/>
          <w:sz w:val="22"/>
        </w:rPr>
        <w:t>手蓄电池</w:t>
      </w:r>
      <w:r>
        <w:rPr>
          <w:rFonts w:ascii="宋体" w:hAnsi="宋体"/>
          <w:sz w:val="22"/>
        </w:rPr>
        <w:t>”</w:t>
      </w:r>
      <w:r>
        <w:rPr>
          <w:rFonts w:ascii="宋体" w:hAnsi="宋体" w:hint="eastAsia"/>
          <w:sz w:val="22"/>
        </w:rPr>
        <w:t>展品展示的是原电池原理，受众如果两只手握不同材质的金属后，电流表会发</w:t>
      </w:r>
      <w:r>
        <w:rPr>
          <w:rFonts w:ascii="宋体" w:hAnsi="宋体" w:hint="eastAsia"/>
          <w:sz w:val="22"/>
        </w:rPr>
        <w:t>生偏转，其核心问题就是认知到“为什么会产生电流”。产生这一现象需要三个条件：两端握住的金属活泼性不同形成电势差、存在电解质和形成闭合回路，而受众在体验时并没有充分认知。因此，要将展品分解为如下三个知识点，并针对每个知识点设计探究式学习的体验方式：</w:t>
      </w:r>
    </w:p>
    <w:p w:rsidR="000946D6" w:rsidRDefault="0084638D">
      <w:pPr>
        <w:spacing w:line="400" w:lineRule="exact"/>
        <w:ind w:firstLineChars="200" w:firstLine="440"/>
        <w:rPr>
          <w:rFonts w:ascii="Times New Roman" w:hAnsi="Times New Roman"/>
          <w:sz w:val="22"/>
        </w:rPr>
      </w:pPr>
      <w:r>
        <w:rPr>
          <w:rFonts w:ascii="Times New Roman" w:hAnsi="Times New Roman"/>
          <w:sz w:val="22"/>
        </w:rPr>
        <w:t>1</w:t>
      </w:r>
      <w:r>
        <w:rPr>
          <w:rFonts w:ascii="Times New Roman" w:hAnsi="Times New Roman" w:hint="eastAsia"/>
          <w:sz w:val="22"/>
        </w:rPr>
        <w:t>．</w:t>
      </w:r>
      <w:r>
        <w:rPr>
          <w:rFonts w:ascii="Times New Roman" w:hAnsi="Times New Roman"/>
          <w:sz w:val="22"/>
        </w:rPr>
        <w:t>电势</w:t>
      </w:r>
      <w:r>
        <w:rPr>
          <w:rFonts w:ascii="宋体" w:hAnsi="宋体" w:hint="eastAsia"/>
          <w:sz w:val="22"/>
        </w:rPr>
        <w:t>差：受众两手握住相同活泼性的金属，观察电流表是否发生偏转；双手握住不同活泼性的金属，观察电流表是否发生偏转；比较双手分别握着“铁</w:t>
      </w:r>
      <w:r>
        <w:rPr>
          <w:rFonts w:ascii="宋体" w:hAnsi="宋体"/>
          <w:sz w:val="22"/>
        </w:rPr>
        <w:t>-</w:t>
      </w:r>
      <w:r>
        <w:rPr>
          <w:rFonts w:ascii="宋体" w:hAnsi="宋体"/>
          <w:sz w:val="22"/>
        </w:rPr>
        <w:t>铜</w:t>
      </w:r>
      <w:r>
        <w:rPr>
          <w:rFonts w:ascii="宋体" w:hAnsi="宋体"/>
          <w:sz w:val="22"/>
        </w:rPr>
        <w:t>”</w:t>
      </w:r>
      <w:r>
        <w:rPr>
          <w:rFonts w:ascii="宋体" w:hAnsi="宋体"/>
          <w:sz w:val="22"/>
        </w:rPr>
        <w:t>和</w:t>
      </w:r>
      <w:r>
        <w:rPr>
          <w:rFonts w:ascii="宋体" w:hAnsi="宋体"/>
          <w:sz w:val="22"/>
        </w:rPr>
        <w:t>“</w:t>
      </w:r>
      <w:r>
        <w:rPr>
          <w:rFonts w:ascii="宋体" w:hAnsi="宋体"/>
          <w:sz w:val="22"/>
        </w:rPr>
        <w:t>铁</w:t>
      </w:r>
      <w:r>
        <w:rPr>
          <w:rFonts w:ascii="宋体" w:hAnsi="宋体"/>
          <w:sz w:val="22"/>
        </w:rPr>
        <w:t>-</w:t>
      </w:r>
      <w:r>
        <w:rPr>
          <w:rFonts w:ascii="宋体" w:hAnsi="宋体"/>
          <w:sz w:val="22"/>
        </w:rPr>
        <w:t>铝</w:t>
      </w:r>
      <w:r>
        <w:rPr>
          <w:rFonts w:ascii="宋体" w:hAnsi="宋体"/>
          <w:sz w:val="22"/>
        </w:rPr>
        <w:t>”</w:t>
      </w:r>
      <w:r>
        <w:rPr>
          <w:rFonts w:ascii="Times New Roman" w:hAnsi="Times New Roman"/>
          <w:sz w:val="22"/>
        </w:rPr>
        <w:t>时，电流表示数是否</w:t>
      </w:r>
      <w:r>
        <w:rPr>
          <w:rFonts w:ascii="Times New Roman" w:hAnsi="Times New Roman"/>
          <w:sz w:val="22"/>
        </w:rPr>
        <w:lastRenderedPageBreak/>
        <w:t>存在差别。</w:t>
      </w:r>
    </w:p>
    <w:p w:rsidR="000946D6" w:rsidRDefault="0084638D">
      <w:pPr>
        <w:spacing w:line="400" w:lineRule="exact"/>
        <w:ind w:firstLineChars="200" w:firstLine="440"/>
        <w:rPr>
          <w:rFonts w:ascii="Times New Roman" w:hAnsi="Times New Roman"/>
          <w:sz w:val="22"/>
        </w:rPr>
      </w:pPr>
      <w:r>
        <w:rPr>
          <w:rFonts w:ascii="Times New Roman" w:hAnsi="Times New Roman"/>
          <w:sz w:val="22"/>
        </w:rPr>
        <w:t>2</w:t>
      </w:r>
      <w:r>
        <w:rPr>
          <w:rFonts w:ascii="Times New Roman" w:hAnsi="Times New Roman" w:hint="eastAsia"/>
          <w:sz w:val="22"/>
        </w:rPr>
        <w:t>．</w:t>
      </w:r>
      <w:r>
        <w:rPr>
          <w:rFonts w:ascii="Times New Roman" w:hAnsi="Times New Roman"/>
          <w:sz w:val="22"/>
        </w:rPr>
        <w:t>闭合回路：两名受众</w:t>
      </w:r>
      <w:r>
        <w:rPr>
          <w:rFonts w:ascii="Times New Roman" w:hAnsi="Times New Roman" w:hint="eastAsia"/>
          <w:sz w:val="22"/>
        </w:rPr>
        <w:t>手拉手、另一只手</w:t>
      </w:r>
      <w:r>
        <w:rPr>
          <w:rFonts w:ascii="Times New Roman" w:hAnsi="Times New Roman"/>
          <w:sz w:val="22"/>
        </w:rPr>
        <w:t>握住活泼性不同的金属棒</w:t>
      </w:r>
      <w:r>
        <w:rPr>
          <w:rFonts w:ascii="Times New Roman" w:hAnsi="Times New Roman" w:hint="eastAsia"/>
          <w:sz w:val="22"/>
        </w:rPr>
        <w:t>；</w:t>
      </w:r>
      <w:r>
        <w:rPr>
          <w:rFonts w:ascii="Times New Roman" w:hAnsi="Times New Roman"/>
          <w:sz w:val="22"/>
        </w:rPr>
        <w:t>两名受众彼此不接触，</w:t>
      </w:r>
      <w:r>
        <w:rPr>
          <w:rFonts w:ascii="Times New Roman" w:hAnsi="Times New Roman" w:hint="eastAsia"/>
          <w:sz w:val="22"/>
        </w:rPr>
        <w:t>各伸出</w:t>
      </w:r>
      <w:r>
        <w:rPr>
          <w:rFonts w:ascii="Times New Roman" w:hAnsi="Times New Roman"/>
          <w:sz w:val="22"/>
        </w:rPr>
        <w:t>一只手握住活泼性不同的金属棒，</w:t>
      </w:r>
      <w:r>
        <w:rPr>
          <w:rFonts w:ascii="Times New Roman" w:hAnsi="Times New Roman" w:hint="eastAsia"/>
          <w:sz w:val="22"/>
        </w:rPr>
        <w:t>分别</w:t>
      </w:r>
      <w:r>
        <w:rPr>
          <w:rFonts w:ascii="Times New Roman" w:hAnsi="Times New Roman"/>
          <w:sz w:val="22"/>
        </w:rPr>
        <w:t>观察</w:t>
      </w:r>
      <w:r>
        <w:rPr>
          <w:rFonts w:ascii="Times New Roman" w:hAnsi="Times New Roman" w:hint="eastAsia"/>
          <w:sz w:val="22"/>
        </w:rPr>
        <w:t>两种情况下</w:t>
      </w:r>
      <w:r>
        <w:rPr>
          <w:rFonts w:ascii="Times New Roman" w:hAnsi="Times New Roman"/>
          <w:sz w:val="22"/>
        </w:rPr>
        <w:t>电流表是否发生偏转；</w:t>
      </w:r>
    </w:p>
    <w:p w:rsidR="000946D6" w:rsidRDefault="0084638D">
      <w:pPr>
        <w:spacing w:line="400" w:lineRule="exact"/>
        <w:ind w:firstLineChars="200" w:firstLine="440"/>
        <w:rPr>
          <w:rFonts w:ascii="Times New Roman" w:hAnsi="Times New Roman"/>
          <w:sz w:val="22"/>
        </w:rPr>
      </w:pPr>
      <w:r>
        <w:rPr>
          <w:rFonts w:ascii="Times New Roman" w:hAnsi="Times New Roman" w:hint="eastAsia"/>
          <w:sz w:val="22"/>
        </w:rPr>
        <w:t>……</w:t>
      </w:r>
    </w:p>
    <w:p w:rsidR="000946D6" w:rsidRDefault="0084638D">
      <w:pPr>
        <w:spacing w:line="400" w:lineRule="exact"/>
        <w:ind w:firstLineChars="200" w:firstLine="440"/>
        <w:rPr>
          <w:rFonts w:ascii="Times New Roman" w:hAnsi="Times New Roman"/>
          <w:sz w:val="22"/>
        </w:rPr>
      </w:pPr>
      <w:r>
        <w:rPr>
          <w:rFonts w:ascii="Times New Roman" w:hAnsi="Times New Roman" w:hint="eastAsia"/>
          <w:sz w:val="22"/>
        </w:rPr>
        <w:t>分析科学展品</w:t>
      </w:r>
      <w:r>
        <w:rPr>
          <w:rFonts w:ascii="Times New Roman" w:hAnsi="Times New Roman"/>
          <w:sz w:val="22"/>
        </w:rPr>
        <w:t>将运用到三个概念：分类</w:t>
      </w:r>
      <w:r>
        <w:rPr>
          <w:rFonts w:ascii="Times New Roman" w:hAnsi="Times New Roman" w:hint="eastAsia"/>
          <w:sz w:val="22"/>
        </w:rPr>
        <w:t>、</w:t>
      </w:r>
      <w:r>
        <w:rPr>
          <w:rFonts w:ascii="Times New Roman" w:hAnsi="Times New Roman"/>
          <w:sz w:val="22"/>
        </w:rPr>
        <w:t>架构</w:t>
      </w:r>
      <w:r>
        <w:rPr>
          <w:rFonts w:ascii="Times New Roman" w:hAnsi="Times New Roman" w:hint="eastAsia"/>
          <w:sz w:val="22"/>
        </w:rPr>
        <w:t>和形式性</w:t>
      </w:r>
      <w:r>
        <w:rPr>
          <w:rFonts w:ascii="Times New Roman" w:hAnsi="Times New Roman"/>
          <w:sz w:val="22"/>
        </w:rPr>
        <w:t>。</w:t>
      </w:r>
    </w:p>
    <w:p w:rsidR="000946D6" w:rsidRDefault="0084638D">
      <w:pPr>
        <w:spacing w:line="400" w:lineRule="exact"/>
        <w:ind w:firstLineChars="200" w:firstLine="442"/>
        <w:rPr>
          <w:sz w:val="22"/>
        </w:rPr>
      </w:pPr>
      <w:r>
        <w:rPr>
          <w:b/>
          <w:sz w:val="22"/>
        </w:rPr>
        <w:t>分类</w:t>
      </w:r>
      <w:r>
        <w:rPr>
          <w:rStyle w:val="af0"/>
          <w:b/>
          <w:sz w:val="22"/>
        </w:rPr>
        <w:footnoteReference w:id="2"/>
      </w:r>
      <w:r>
        <w:rPr>
          <w:b/>
          <w:sz w:val="22"/>
        </w:rPr>
        <w:t>：</w:t>
      </w:r>
      <w:r>
        <w:rPr>
          <w:sz w:val="22"/>
        </w:rPr>
        <w:t>科学展品所</w:t>
      </w:r>
      <w:r>
        <w:rPr>
          <w:rFonts w:hint="eastAsia"/>
          <w:sz w:val="22"/>
        </w:rPr>
        <w:t>传递</w:t>
      </w:r>
      <w:r>
        <w:rPr>
          <w:sz w:val="22"/>
        </w:rPr>
        <w:t>的科技知识的专业化程度，对应非专业的日常经验等其它知识体系。该维度反映了</w:t>
      </w:r>
      <w:r>
        <w:rPr>
          <w:rFonts w:hint="eastAsia"/>
          <w:sz w:val="22"/>
        </w:rPr>
        <w:t>观众</w:t>
      </w:r>
      <w:r>
        <w:rPr>
          <w:sz w:val="22"/>
        </w:rPr>
        <w:t>对科技知识体系的定位。</w:t>
      </w:r>
    </w:p>
    <w:p w:rsidR="000946D6" w:rsidRDefault="0084638D">
      <w:pPr>
        <w:spacing w:line="400" w:lineRule="exact"/>
        <w:ind w:firstLineChars="200" w:firstLine="440"/>
        <w:rPr>
          <w:rFonts w:ascii="宋体" w:hAnsi="宋体"/>
          <w:sz w:val="22"/>
        </w:rPr>
      </w:pPr>
      <w:r>
        <w:rPr>
          <w:rFonts w:ascii="宋体" w:hAnsi="宋体" w:hint="eastAsia"/>
          <w:sz w:val="22"/>
        </w:rPr>
        <w:t>……</w:t>
      </w:r>
    </w:p>
    <w:p w:rsidR="000946D6" w:rsidRDefault="0084638D">
      <w:pPr>
        <w:spacing w:beforeLines="100" w:before="312" w:line="400" w:lineRule="exact"/>
        <w:ind w:firstLineChars="200" w:firstLine="442"/>
        <w:rPr>
          <w:rFonts w:ascii="黑体" w:eastAsia="黑体" w:hAnsi="黑体"/>
          <w:b/>
          <w:sz w:val="22"/>
          <w:lang w:val="zh-CN"/>
        </w:rPr>
      </w:pPr>
      <w:r>
        <w:rPr>
          <w:rFonts w:ascii="黑体" w:eastAsia="黑体" w:hAnsi="黑体" w:hint="eastAsia"/>
          <w:b/>
          <w:sz w:val="22"/>
          <w:lang w:val="zh-CN"/>
        </w:rPr>
        <w:t>四、结语</w:t>
      </w:r>
    </w:p>
    <w:p w:rsidR="000946D6" w:rsidRDefault="0084638D">
      <w:pPr>
        <w:spacing w:line="400" w:lineRule="exact"/>
        <w:ind w:firstLineChars="200" w:firstLine="440"/>
        <w:rPr>
          <w:rFonts w:ascii="宋体" w:hAnsi="宋体"/>
          <w:sz w:val="22"/>
        </w:rPr>
      </w:pPr>
      <w:r>
        <w:rPr>
          <w:rFonts w:ascii="宋体" w:hAnsi="宋体" w:hint="eastAsia"/>
          <w:sz w:val="22"/>
        </w:rPr>
        <w:t>开展基于展品的探究式教育活动是科技馆的优势和特色，其根本目的是让受众通过体验、探究进而获得“认知”。通过对部分教育效果较好的展品辅导实践案例分析后发现，如果将</w:t>
      </w:r>
      <w:r>
        <w:rPr>
          <w:rFonts w:ascii="宋体" w:hAnsi="宋体"/>
          <w:sz w:val="22"/>
        </w:rPr>
        <w:t>展品的</w:t>
      </w:r>
      <w:r>
        <w:rPr>
          <w:rFonts w:ascii="宋体" w:hAnsi="宋体" w:hint="eastAsia"/>
          <w:sz w:val="22"/>
        </w:rPr>
        <w:t>原理</w:t>
      </w:r>
      <w:r>
        <w:rPr>
          <w:rFonts w:ascii="宋体" w:hAnsi="宋体"/>
          <w:sz w:val="22"/>
        </w:rPr>
        <w:t>、过程、操作等</w:t>
      </w:r>
      <w:r>
        <w:rPr>
          <w:rFonts w:ascii="宋体" w:hAnsi="宋体" w:hint="eastAsia"/>
          <w:sz w:val="22"/>
        </w:rPr>
        <w:t>进行</w:t>
      </w:r>
      <w:r>
        <w:rPr>
          <w:rFonts w:ascii="宋体" w:hAnsi="宋体"/>
          <w:sz w:val="22"/>
        </w:rPr>
        <w:t>分解，</w:t>
      </w:r>
      <w:r>
        <w:rPr>
          <w:rFonts w:ascii="宋体" w:hAnsi="宋体" w:hint="eastAsia"/>
          <w:sz w:val="22"/>
        </w:rPr>
        <w:t>并设计相应的操作、观察、体验</w:t>
      </w:r>
      <w:r>
        <w:rPr>
          <w:rFonts w:ascii="宋体" w:hAnsi="宋体" w:hint="eastAsia"/>
          <w:sz w:val="22"/>
        </w:rPr>
        <w:t>过程，可以</w:t>
      </w:r>
      <w:r>
        <w:rPr>
          <w:rFonts w:ascii="宋体" w:hAnsi="宋体"/>
          <w:sz w:val="22"/>
        </w:rPr>
        <w:t>让</w:t>
      </w:r>
      <w:r>
        <w:rPr>
          <w:rFonts w:ascii="宋体" w:hAnsi="宋体" w:hint="eastAsia"/>
          <w:sz w:val="22"/>
        </w:rPr>
        <w:t>受众</w:t>
      </w:r>
      <w:r>
        <w:rPr>
          <w:rFonts w:ascii="宋体" w:hAnsi="宋体"/>
          <w:sz w:val="22"/>
        </w:rPr>
        <w:t>更加清晰地进行</w:t>
      </w:r>
      <w:r>
        <w:rPr>
          <w:rFonts w:ascii="宋体" w:hAnsi="宋体" w:hint="eastAsia"/>
          <w:sz w:val="22"/>
        </w:rPr>
        <w:t>探究，从而提高了受众的认知效果。这种“分解</w:t>
      </w:r>
      <w:r>
        <w:rPr>
          <w:rFonts w:ascii="宋体" w:hAnsi="宋体"/>
          <w:sz w:val="22"/>
        </w:rPr>
        <w:t>-</w:t>
      </w:r>
      <w:r>
        <w:rPr>
          <w:rFonts w:ascii="宋体" w:hAnsi="宋体"/>
          <w:sz w:val="22"/>
        </w:rPr>
        <w:t>体验</w:t>
      </w:r>
      <w:r>
        <w:rPr>
          <w:rFonts w:ascii="宋体" w:hAnsi="宋体" w:hint="eastAsia"/>
          <w:sz w:val="22"/>
        </w:rPr>
        <w:t>-</w:t>
      </w:r>
      <w:r>
        <w:rPr>
          <w:rFonts w:ascii="宋体" w:hAnsi="宋体" w:hint="eastAsia"/>
          <w:sz w:val="22"/>
        </w:rPr>
        <w:t>认知”方式是一种可行且有效的</w:t>
      </w:r>
      <w:r>
        <w:rPr>
          <w:rFonts w:ascii="宋体" w:hAnsi="宋体"/>
          <w:sz w:val="22"/>
        </w:rPr>
        <w:t>开发思路</w:t>
      </w:r>
      <w:r>
        <w:rPr>
          <w:rFonts w:ascii="宋体" w:hAnsi="宋体" w:hint="eastAsia"/>
          <w:sz w:val="22"/>
        </w:rPr>
        <w:t>。</w:t>
      </w:r>
    </w:p>
    <w:p w:rsidR="000946D6" w:rsidRDefault="0084638D">
      <w:pPr>
        <w:spacing w:line="400" w:lineRule="exact"/>
        <w:ind w:firstLineChars="200" w:firstLine="440"/>
        <w:rPr>
          <w:rFonts w:ascii="宋体" w:hAnsi="宋体"/>
          <w:sz w:val="22"/>
        </w:rPr>
      </w:pPr>
      <w:r>
        <w:rPr>
          <w:rFonts w:ascii="宋体" w:hAnsi="宋体" w:hint="eastAsia"/>
          <w:sz w:val="22"/>
        </w:rPr>
        <w:t>本文探讨了“分解</w:t>
      </w:r>
      <w:r>
        <w:rPr>
          <w:rFonts w:ascii="宋体" w:hAnsi="宋体"/>
          <w:sz w:val="22"/>
        </w:rPr>
        <w:t>-</w:t>
      </w:r>
      <w:r>
        <w:rPr>
          <w:rFonts w:ascii="宋体" w:hAnsi="宋体"/>
          <w:sz w:val="22"/>
        </w:rPr>
        <w:t>体验</w:t>
      </w:r>
      <w:r>
        <w:rPr>
          <w:rFonts w:ascii="宋体" w:hAnsi="宋体" w:hint="eastAsia"/>
          <w:sz w:val="22"/>
        </w:rPr>
        <w:t>-</w:t>
      </w:r>
      <w:r>
        <w:rPr>
          <w:rFonts w:ascii="宋体" w:hAnsi="宋体" w:hint="eastAsia"/>
          <w:sz w:val="22"/>
        </w:rPr>
        <w:t>认知”的必要性和原则，并结合部分实际案例，归纳了三种类型的“分解</w:t>
      </w:r>
      <w:r>
        <w:rPr>
          <w:rFonts w:ascii="宋体" w:hAnsi="宋体"/>
          <w:sz w:val="22"/>
        </w:rPr>
        <w:t>-</w:t>
      </w:r>
      <w:r>
        <w:rPr>
          <w:rFonts w:ascii="宋体" w:hAnsi="宋体"/>
          <w:sz w:val="22"/>
        </w:rPr>
        <w:t>体验</w:t>
      </w:r>
      <w:r>
        <w:rPr>
          <w:rFonts w:ascii="宋体" w:hAnsi="宋体"/>
          <w:sz w:val="22"/>
        </w:rPr>
        <w:t>”</w:t>
      </w:r>
      <w:r>
        <w:rPr>
          <w:rFonts w:ascii="宋体" w:hAnsi="宋体"/>
          <w:sz w:val="22"/>
        </w:rPr>
        <w:t>方式</w:t>
      </w:r>
      <w:r>
        <w:rPr>
          <w:rFonts w:ascii="宋体" w:hAnsi="宋体" w:hint="eastAsia"/>
          <w:sz w:val="22"/>
        </w:rPr>
        <w:t>。在开发具体教育活动时，不应局限于此三类方式，须针对具体展品灵活运用“分解</w:t>
      </w:r>
      <w:r>
        <w:rPr>
          <w:rFonts w:ascii="宋体" w:hAnsi="宋体"/>
          <w:sz w:val="22"/>
        </w:rPr>
        <w:t>-</w:t>
      </w:r>
      <w:r>
        <w:rPr>
          <w:rFonts w:ascii="宋体" w:hAnsi="宋体"/>
          <w:sz w:val="22"/>
        </w:rPr>
        <w:t>体验</w:t>
      </w:r>
      <w:r>
        <w:rPr>
          <w:rFonts w:ascii="宋体" w:hAnsi="宋体"/>
          <w:sz w:val="22"/>
        </w:rPr>
        <w:t>”</w:t>
      </w:r>
      <w:r>
        <w:rPr>
          <w:rFonts w:ascii="宋体" w:hAnsi="宋体"/>
          <w:sz w:val="22"/>
        </w:rPr>
        <w:t>思路</w:t>
      </w:r>
      <w:r>
        <w:rPr>
          <w:rFonts w:ascii="宋体" w:hAnsi="宋体" w:hint="eastAsia"/>
          <w:sz w:val="22"/>
        </w:rPr>
        <w:t>，在实践中逐渐摸索创新应用模式。</w:t>
      </w:r>
    </w:p>
    <w:p w:rsidR="000946D6" w:rsidRDefault="000946D6">
      <w:pPr>
        <w:spacing w:line="400" w:lineRule="exact"/>
        <w:ind w:firstLine="200"/>
        <w:jc w:val="left"/>
        <w:rPr>
          <w:rFonts w:ascii="宋体" w:hAnsi="宋体"/>
          <w:b/>
          <w:sz w:val="22"/>
        </w:rPr>
      </w:pPr>
    </w:p>
    <w:p w:rsidR="000946D6" w:rsidRDefault="0084638D">
      <w:pPr>
        <w:spacing w:line="400" w:lineRule="exact"/>
        <w:jc w:val="left"/>
        <w:rPr>
          <w:rFonts w:ascii="黑体" w:eastAsia="黑体" w:hAnsi="黑体" w:cs="仿宋_GB2312"/>
          <w:b/>
          <w:kern w:val="0"/>
          <w:sz w:val="22"/>
          <w:szCs w:val="24"/>
          <w:lang w:val="zh-TW"/>
        </w:rPr>
      </w:pPr>
      <w:r>
        <w:rPr>
          <w:rFonts w:ascii="黑体" w:eastAsia="黑体" w:hAnsi="黑体" w:cs="仿宋_GB2312"/>
          <w:b/>
          <w:kern w:val="0"/>
          <w:sz w:val="22"/>
          <w:lang w:val="zh-TW" w:eastAsia="zh-TW"/>
        </w:rPr>
        <w:t>参考文献</w:t>
      </w:r>
    </w:p>
    <w:p w:rsidR="000946D6" w:rsidRDefault="0084638D">
      <w:pPr>
        <w:spacing w:line="360" w:lineRule="exact"/>
        <w:jc w:val="left"/>
        <w:rPr>
          <w:rFonts w:ascii="Times New Roman" w:hAnsi="Times New Roman"/>
          <w:kern w:val="0"/>
          <w:lang w:val="zh-TW"/>
        </w:rPr>
      </w:pPr>
      <w:r>
        <w:rPr>
          <w:rFonts w:ascii="Times New Roman" w:hAnsi="宋体" w:hint="eastAsia"/>
          <w:kern w:val="0"/>
          <w:lang w:val="zh-TW"/>
        </w:rPr>
        <w:t>[1]</w:t>
      </w:r>
      <w:r>
        <w:rPr>
          <w:rFonts w:ascii="Times New Roman" w:hAnsi="宋体"/>
          <w:kern w:val="0"/>
          <w:lang w:val="zh-TW"/>
        </w:rPr>
        <w:t>李文君</w:t>
      </w:r>
      <w:r>
        <w:rPr>
          <w:rFonts w:ascii="Times New Roman" w:hAnsi="宋体" w:hint="eastAsia"/>
          <w:kern w:val="0"/>
          <w:lang w:val="zh-TW"/>
        </w:rPr>
        <w:t>．</w:t>
      </w:r>
      <w:r>
        <w:rPr>
          <w:rFonts w:ascii="Times New Roman" w:hAnsi="宋体"/>
          <w:kern w:val="0"/>
          <w:lang w:val="zh-TW"/>
        </w:rPr>
        <w:t>体验式学习理论研究综述</w:t>
      </w:r>
      <w:r>
        <w:rPr>
          <w:rFonts w:ascii="Times New Roman" w:hAnsi="Times New Roman"/>
          <w:kern w:val="0"/>
          <w:lang w:val="zh-TW"/>
        </w:rPr>
        <w:t>[J]</w:t>
      </w:r>
      <w:r>
        <w:rPr>
          <w:rFonts w:ascii="Times New Roman" w:hAnsi="宋体" w:hint="eastAsia"/>
          <w:kern w:val="0"/>
          <w:lang w:val="zh-TW"/>
        </w:rPr>
        <w:t>．</w:t>
      </w:r>
      <w:r>
        <w:rPr>
          <w:rFonts w:ascii="Times New Roman" w:hAnsi="宋体"/>
          <w:kern w:val="0"/>
          <w:lang w:val="zh-TW"/>
        </w:rPr>
        <w:t>教育观察</w:t>
      </w:r>
      <w:r>
        <w:rPr>
          <w:rFonts w:ascii="Times New Roman" w:hAnsi="Times New Roman" w:hint="eastAsia"/>
          <w:kern w:val="0"/>
          <w:lang w:val="zh-TW"/>
        </w:rPr>
        <w:t>，</w:t>
      </w:r>
      <w:r>
        <w:rPr>
          <w:rFonts w:ascii="Times New Roman" w:hAnsi="Times New Roman"/>
          <w:kern w:val="0"/>
          <w:lang w:val="zh-TW"/>
        </w:rPr>
        <w:t>2012</w:t>
      </w:r>
      <w:r>
        <w:rPr>
          <w:rFonts w:ascii="Times New Roman" w:hAnsi="Times New Roman" w:hint="eastAsia"/>
          <w:kern w:val="0"/>
          <w:lang w:val="zh-TW"/>
        </w:rPr>
        <w:t>（</w:t>
      </w:r>
      <w:r>
        <w:rPr>
          <w:rFonts w:ascii="Times New Roman" w:hAnsi="Times New Roman"/>
          <w:kern w:val="0"/>
          <w:lang w:val="zh-TW"/>
        </w:rPr>
        <w:t>04</w:t>
      </w:r>
      <w:r>
        <w:rPr>
          <w:rFonts w:ascii="Times New Roman" w:hAnsi="Times New Roman" w:hint="eastAsia"/>
          <w:kern w:val="0"/>
          <w:lang w:val="zh-TW"/>
        </w:rPr>
        <w:t>）：</w:t>
      </w:r>
      <w:r>
        <w:rPr>
          <w:rFonts w:ascii="Times New Roman" w:hAnsi="Times New Roman"/>
          <w:kern w:val="0"/>
          <w:lang w:val="zh-TW"/>
        </w:rPr>
        <w:t>83-89</w:t>
      </w:r>
      <w:r>
        <w:rPr>
          <w:rFonts w:ascii="Times New Roman" w:hAnsi="Times New Roman" w:hint="eastAsia"/>
          <w:kern w:val="0"/>
          <w:lang w:val="zh-TW"/>
        </w:rPr>
        <w:t>.</w:t>
      </w:r>
    </w:p>
    <w:p w:rsidR="000946D6" w:rsidRDefault="0084638D">
      <w:pPr>
        <w:spacing w:line="360" w:lineRule="exact"/>
        <w:ind w:left="315" w:hangingChars="150" w:hanging="315"/>
        <w:jc w:val="left"/>
        <w:rPr>
          <w:rFonts w:ascii="Times New Roman" w:hAnsi="Times New Roman"/>
          <w:kern w:val="0"/>
        </w:rPr>
      </w:pPr>
      <w:r>
        <w:rPr>
          <w:rFonts w:ascii="Times New Roman" w:hAnsi="Times New Roman"/>
          <w:kern w:val="0"/>
        </w:rPr>
        <w:t>[2]</w:t>
      </w:r>
      <w:r>
        <w:rPr>
          <w:rFonts w:ascii="Times New Roman" w:hAnsi="宋体"/>
          <w:kern w:val="0"/>
          <w:lang w:eastAsia="zh-TW"/>
        </w:rPr>
        <w:t>张浩</w:t>
      </w:r>
      <w:r>
        <w:rPr>
          <w:rFonts w:ascii="Times New Roman" w:hAnsi="宋体" w:hint="eastAsia"/>
          <w:kern w:val="0"/>
        </w:rPr>
        <w:t>，</w:t>
      </w:r>
      <w:r>
        <w:rPr>
          <w:rFonts w:ascii="Times New Roman" w:hAnsi="宋体"/>
          <w:kern w:val="0"/>
          <w:lang w:eastAsia="zh-TW"/>
        </w:rPr>
        <w:t>吴秀娟</w:t>
      </w:r>
      <w:r>
        <w:rPr>
          <w:rFonts w:ascii="Times New Roman" w:hAnsi="宋体" w:hint="eastAsia"/>
          <w:kern w:val="0"/>
        </w:rPr>
        <w:t>．</w:t>
      </w:r>
      <w:r>
        <w:rPr>
          <w:rFonts w:ascii="Times New Roman" w:hAnsi="宋体"/>
          <w:kern w:val="0"/>
          <w:lang w:eastAsia="zh-TW"/>
        </w:rPr>
        <w:t>深度学习的内涵及认知理论基础探析</w:t>
      </w:r>
      <w:r>
        <w:rPr>
          <w:rFonts w:ascii="Times New Roman" w:hAnsi="Times New Roman"/>
          <w:kern w:val="0"/>
          <w:lang w:eastAsia="zh-TW"/>
        </w:rPr>
        <w:t>[J]</w:t>
      </w:r>
      <w:r>
        <w:rPr>
          <w:rFonts w:ascii="Times New Roman" w:hAnsi="宋体" w:hint="eastAsia"/>
          <w:kern w:val="0"/>
        </w:rPr>
        <w:t>．</w:t>
      </w:r>
      <w:r>
        <w:rPr>
          <w:rFonts w:ascii="Times New Roman" w:hAnsi="宋体"/>
          <w:kern w:val="0"/>
          <w:lang w:eastAsia="zh-TW"/>
        </w:rPr>
        <w:t>中国电化教育</w:t>
      </w:r>
      <w:r>
        <w:rPr>
          <w:rFonts w:ascii="Times New Roman" w:hAnsi="Times New Roman" w:hint="eastAsia"/>
          <w:kern w:val="0"/>
        </w:rPr>
        <w:t>，</w:t>
      </w:r>
      <w:r>
        <w:rPr>
          <w:rFonts w:ascii="Times New Roman" w:hAnsi="Times New Roman"/>
          <w:kern w:val="0"/>
          <w:lang w:eastAsia="zh-TW"/>
        </w:rPr>
        <w:t>2012</w:t>
      </w:r>
      <w:r>
        <w:rPr>
          <w:rFonts w:ascii="Times New Roman" w:hAnsi="Times New Roman" w:hint="eastAsia"/>
          <w:kern w:val="0"/>
        </w:rPr>
        <w:t>（</w:t>
      </w:r>
      <w:r>
        <w:rPr>
          <w:rFonts w:ascii="Times New Roman" w:hAnsi="Times New Roman"/>
          <w:kern w:val="0"/>
          <w:lang w:eastAsia="zh-TW"/>
        </w:rPr>
        <w:t>10</w:t>
      </w:r>
      <w:r>
        <w:rPr>
          <w:rFonts w:ascii="Times New Roman" w:hAnsi="Times New Roman" w:hint="eastAsia"/>
          <w:kern w:val="0"/>
        </w:rPr>
        <w:t>）：</w:t>
      </w:r>
      <w:r>
        <w:rPr>
          <w:rFonts w:ascii="Times New Roman" w:hAnsi="Times New Roman"/>
          <w:kern w:val="0"/>
        </w:rPr>
        <w:t>7-11</w:t>
      </w:r>
      <w:r>
        <w:rPr>
          <w:rFonts w:ascii="Times New Roman" w:hAnsi="Times New Roman" w:hint="eastAsia"/>
          <w:kern w:val="0"/>
        </w:rPr>
        <w:t>，</w:t>
      </w:r>
      <w:r>
        <w:rPr>
          <w:rFonts w:ascii="Times New Roman" w:hAnsi="Times New Roman"/>
          <w:kern w:val="0"/>
        </w:rPr>
        <w:t>21.</w:t>
      </w:r>
    </w:p>
    <w:p w:rsidR="000946D6" w:rsidRDefault="0084638D">
      <w:pPr>
        <w:spacing w:line="360" w:lineRule="exact"/>
        <w:ind w:left="315" w:hangingChars="150" w:hanging="315"/>
        <w:jc w:val="left"/>
        <w:rPr>
          <w:rFonts w:ascii="Times New Roman" w:hAnsi="Times New Roman"/>
          <w:kern w:val="0"/>
        </w:rPr>
      </w:pPr>
      <w:r>
        <w:rPr>
          <w:rFonts w:ascii="Times New Roman" w:hAnsi="Times New Roman"/>
          <w:kern w:val="0"/>
        </w:rPr>
        <w:t>[3]</w:t>
      </w:r>
      <w:r>
        <w:rPr>
          <w:rFonts w:ascii="Times New Roman" w:hAnsi="宋体"/>
          <w:kern w:val="0"/>
          <w:lang w:val="zh-TW" w:eastAsia="zh-TW"/>
        </w:rPr>
        <w:t>赵瑞芬</w:t>
      </w:r>
      <w:r>
        <w:rPr>
          <w:rFonts w:ascii="Times New Roman" w:hAnsi="宋体" w:hint="eastAsia"/>
          <w:kern w:val="0"/>
        </w:rPr>
        <w:t>．</w:t>
      </w:r>
      <w:r>
        <w:rPr>
          <w:rFonts w:ascii="Times New Roman" w:hAnsi="宋体"/>
          <w:kern w:val="0"/>
          <w:lang w:val="zh-TW" w:eastAsia="zh-TW"/>
        </w:rPr>
        <w:t>多感官学习的研究现状与展望</w:t>
      </w:r>
      <w:r>
        <w:rPr>
          <w:rFonts w:ascii="Times New Roman" w:hAnsi="Times New Roman"/>
          <w:kern w:val="0"/>
        </w:rPr>
        <w:t>[J]</w:t>
      </w:r>
      <w:r>
        <w:rPr>
          <w:rFonts w:ascii="Times New Roman" w:hAnsi="宋体" w:hint="eastAsia"/>
          <w:kern w:val="0"/>
        </w:rPr>
        <w:t>．</w:t>
      </w:r>
      <w:r>
        <w:rPr>
          <w:rFonts w:ascii="Times New Roman" w:hAnsi="宋体"/>
          <w:kern w:val="0"/>
          <w:lang w:val="zh-TW" w:eastAsia="zh-TW"/>
        </w:rPr>
        <w:t>生物技术世界</w:t>
      </w:r>
      <w:r>
        <w:rPr>
          <w:rFonts w:ascii="Times New Roman" w:hAnsi="宋体" w:hint="eastAsia"/>
          <w:kern w:val="0"/>
        </w:rPr>
        <w:t>，</w:t>
      </w:r>
      <w:r>
        <w:rPr>
          <w:rFonts w:ascii="Times New Roman" w:hAnsi="Times New Roman"/>
          <w:kern w:val="0"/>
        </w:rPr>
        <w:t>2016</w:t>
      </w:r>
      <w:r>
        <w:rPr>
          <w:rFonts w:ascii="Times New Roman" w:hAnsi="Times New Roman" w:hint="eastAsia"/>
          <w:kern w:val="0"/>
        </w:rPr>
        <w:t>（</w:t>
      </w:r>
      <w:r>
        <w:rPr>
          <w:rFonts w:ascii="Times New Roman" w:hAnsi="Times New Roman"/>
          <w:kern w:val="0"/>
        </w:rPr>
        <w:t>04</w:t>
      </w:r>
      <w:r>
        <w:rPr>
          <w:rFonts w:ascii="Times New Roman" w:hAnsi="Times New Roman" w:hint="eastAsia"/>
          <w:kern w:val="0"/>
        </w:rPr>
        <w:t>）：</w:t>
      </w:r>
      <w:r>
        <w:rPr>
          <w:rFonts w:ascii="Times New Roman" w:hAnsi="Times New Roman"/>
          <w:kern w:val="0"/>
        </w:rPr>
        <w:t>286-287.</w:t>
      </w:r>
    </w:p>
    <w:p w:rsidR="000946D6" w:rsidRDefault="0084638D">
      <w:pPr>
        <w:spacing w:line="360" w:lineRule="exact"/>
        <w:ind w:left="315" w:hangingChars="150" w:hanging="315"/>
        <w:jc w:val="left"/>
        <w:rPr>
          <w:rFonts w:ascii="Times New Roman" w:hAnsi="Times New Roman"/>
          <w:kern w:val="0"/>
        </w:rPr>
      </w:pPr>
      <w:r>
        <w:rPr>
          <w:rFonts w:ascii="Times New Roman" w:hAnsi="Times New Roman"/>
          <w:kern w:val="0"/>
        </w:rPr>
        <w:t>[4]</w:t>
      </w:r>
      <w:r>
        <w:rPr>
          <w:rFonts w:ascii="Times New Roman" w:hAnsi="宋体" w:hint="eastAsia"/>
          <w:kern w:val="0"/>
        </w:rPr>
        <w:t>常娟，霍菲菲．多感官学习在科技馆展览辅导中的应用</w:t>
      </w:r>
      <w:r>
        <w:rPr>
          <w:rFonts w:ascii="Times New Roman" w:hAnsi="Times New Roman"/>
          <w:kern w:val="0"/>
          <w:lang w:val="zh-TW"/>
        </w:rPr>
        <w:t>[J]</w:t>
      </w:r>
      <w:r>
        <w:rPr>
          <w:rFonts w:ascii="Times New Roman" w:hAnsi="宋体" w:hint="eastAsia"/>
          <w:kern w:val="0"/>
        </w:rPr>
        <w:t>．自然科学博物馆研究，</w:t>
      </w:r>
      <w:r>
        <w:rPr>
          <w:rFonts w:ascii="Times New Roman" w:hAnsi="Times New Roman"/>
          <w:kern w:val="0"/>
        </w:rPr>
        <w:t>2016</w:t>
      </w:r>
      <w:r>
        <w:rPr>
          <w:rFonts w:ascii="Times New Roman" w:hAnsi="Times New Roman" w:hint="eastAsia"/>
          <w:kern w:val="0"/>
        </w:rPr>
        <w:t>（</w:t>
      </w:r>
      <w:r>
        <w:rPr>
          <w:rFonts w:ascii="Times New Roman" w:hAnsi="Times New Roman"/>
          <w:kern w:val="0"/>
        </w:rPr>
        <w:t>03</w:t>
      </w:r>
      <w:r>
        <w:rPr>
          <w:rFonts w:ascii="Times New Roman" w:hAnsi="Times New Roman" w:hint="eastAsia"/>
          <w:kern w:val="0"/>
        </w:rPr>
        <w:t>）：</w:t>
      </w:r>
      <w:r>
        <w:rPr>
          <w:rFonts w:ascii="Times New Roman" w:hAnsi="Times New Roman"/>
          <w:kern w:val="0"/>
        </w:rPr>
        <w:t>52-53.</w:t>
      </w:r>
    </w:p>
    <w:p w:rsidR="000946D6" w:rsidRDefault="0084638D">
      <w:pPr>
        <w:spacing w:line="360" w:lineRule="exact"/>
        <w:ind w:left="315" w:hangingChars="150" w:hanging="315"/>
        <w:jc w:val="left"/>
        <w:rPr>
          <w:rFonts w:ascii="Times New Roman" w:hAnsi="Times New Roman"/>
          <w:kern w:val="0"/>
        </w:rPr>
      </w:pPr>
      <w:r>
        <w:rPr>
          <w:rFonts w:ascii="Times New Roman" w:hAnsi="Times New Roman"/>
          <w:kern w:val="0"/>
        </w:rPr>
        <w:t>[5]</w:t>
      </w:r>
      <w:r>
        <w:rPr>
          <w:rFonts w:ascii="Times New Roman" w:hAnsi="宋体"/>
          <w:kern w:val="0"/>
          <w:lang w:val="zh-TW" w:eastAsia="zh-TW"/>
        </w:rPr>
        <w:t>张洲英</w:t>
      </w:r>
      <w:r>
        <w:rPr>
          <w:rFonts w:ascii="Times New Roman" w:hAnsi="宋体" w:hint="eastAsia"/>
          <w:kern w:val="0"/>
        </w:rPr>
        <w:t>．</w:t>
      </w:r>
      <w:r>
        <w:rPr>
          <w:rFonts w:ascii="Times New Roman" w:hAnsi="宋体"/>
          <w:kern w:val="0"/>
          <w:lang w:val="zh-TW" w:eastAsia="zh-TW"/>
        </w:rPr>
        <w:t>知识受众认知研究</w:t>
      </w:r>
      <w:r>
        <w:rPr>
          <w:rFonts w:ascii="Times New Roman" w:hAnsi="Times New Roman"/>
          <w:kern w:val="0"/>
        </w:rPr>
        <w:t>[D]</w:t>
      </w:r>
      <w:r>
        <w:rPr>
          <w:rFonts w:ascii="Times New Roman" w:hAnsi="宋体" w:hint="eastAsia"/>
          <w:kern w:val="0"/>
        </w:rPr>
        <w:t>．武汉：</w:t>
      </w:r>
      <w:r>
        <w:rPr>
          <w:rFonts w:ascii="Times New Roman" w:hAnsi="宋体"/>
          <w:kern w:val="0"/>
          <w:lang w:val="zh-TW" w:eastAsia="zh-TW"/>
        </w:rPr>
        <w:t>武汉大学</w:t>
      </w:r>
      <w:r>
        <w:rPr>
          <w:rFonts w:ascii="Times New Roman" w:hAnsi="宋体" w:hint="eastAsia"/>
          <w:kern w:val="0"/>
          <w:lang w:val="zh-TW"/>
        </w:rPr>
        <w:t>硕士论文</w:t>
      </w:r>
      <w:r>
        <w:rPr>
          <w:rFonts w:ascii="Times New Roman" w:hAnsi="Times New Roman" w:hint="eastAsia"/>
          <w:kern w:val="0"/>
        </w:rPr>
        <w:t>，</w:t>
      </w:r>
      <w:r>
        <w:rPr>
          <w:rFonts w:ascii="Times New Roman" w:hAnsi="Times New Roman"/>
          <w:kern w:val="0"/>
        </w:rPr>
        <w:t>2004</w:t>
      </w:r>
      <w:r>
        <w:rPr>
          <w:rFonts w:ascii="Times New Roman" w:hAnsi="Times New Roman" w:hint="eastAsia"/>
          <w:kern w:val="0"/>
        </w:rPr>
        <w:t>：</w:t>
      </w:r>
      <w:r>
        <w:rPr>
          <w:rFonts w:ascii="Times New Roman" w:hAnsi="Times New Roman" w:hint="eastAsia"/>
          <w:kern w:val="0"/>
        </w:rPr>
        <w:t>41</w:t>
      </w:r>
      <w:r>
        <w:rPr>
          <w:rFonts w:ascii="Times New Roman" w:hAnsi="Times New Roman"/>
          <w:kern w:val="0"/>
        </w:rPr>
        <w:t>.</w:t>
      </w:r>
    </w:p>
    <w:p w:rsidR="000946D6" w:rsidRDefault="000946D6">
      <w:pPr>
        <w:spacing w:line="400" w:lineRule="exact"/>
        <w:ind w:firstLineChars="200" w:firstLine="440"/>
        <w:rPr>
          <w:rFonts w:ascii="微软雅黑" w:eastAsia="微软雅黑" w:hAnsi="微软雅黑"/>
          <w:b/>
          <w:color w:val="FF0000"/>
          <w:sz w:val="22"/>
        </w:rPr>
      </w:pPr>
    </w:p>
    <w:sectPr w:rsidR="000946D6">
      <w:footerReference w:type="default" r:id="rId8"/>
      <w:footnotePr>
        <w:numFmt w:val="decimalEnclosedCircleChinese"/>
        <w:numRestart w:val="eachPage"/>
      </w:footnotePr>
      <w:pgSz w:w="11907" w:h="16160"/>
      <w:pgMar w:top="1418" w:right="1247" w:bottom="1418"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38D" w:rsidRDefault="0084638D">
      <w:r>
        <w:separator/>
      </w:r>
    </w:p>
  </w:endnote>
  <w:endnote w:type="continuationSeparator" w:id="0">
    <w:p w:rsidR="0084638D" w:rsidRDefault="008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6D6" w:rsidRDefault="0084638D">
    <w:pPr>
      <w:pStyle w:val="a7"/>
      <w:jc w:val="center"/>
    </w:pPr>
    <w:r>
      <w:fldChar w:fldCharType="begin"/>
    </w:r>
    <w:r>
      <w:instrText xml:space="preserve"> PAGE   \* MERGEFORMA</w:instrText>
    </w:r>
    <w:r>
      <w:instrText xml:space="preserve">T </w:instrText>
    </w:r>
    <w:r>
      <w:fldChar w:fldCharType="separate"/>
    </w:r>
    <w:r w:rsidR="00551FDE" w:rsidRPr="00551FDE">
      <w:rPr>
        <w:noProof/>
        <w:lang w:val="zh-CN"/>
      </w:rPr>
      <w:t>4</w:t>
    </w:r>
    <w:r>
      <w:rPr>
        <w:lang w:val="zh-CN"/>
      </w:rPr>
      <w:fldChar w:fldCharType="end"/>
    </w:r>
  </w:p>
  <w:p w:rsidR="000946D6" w:rsidRDefault="000946D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38D" w:rsidRDefault="0084638D">
      <w:r>
        <w:separator/>
      </w:r>
    </w:p>
  </w:footnote>
  <w:footnote w:type="continuationSeparator" w:id="0">
    <w:p w:rsidR="0084638D" w:rsidRDefault="0084638D">
      <w:r>
        <w:continuationSeparator/>
      </w:r>
    </w:p>
  </w:footnote>
  <w:footnote w:id="1">
    <w:p w:rsidR="000946D6" w:rsidRDefault="0084638D">
      <w:pPr>
        <w:pStyle w:val="ab"/>
        <w:spacing w:line="320" w:lineRule="exact"/>
        <w:ind w:left="360" w:hangingChars="200" w:hanging="360"/>
        <w:rPr>
          <w:rFonts w:ascii="Times New Roman" w:eastAsiaTheme="minorEastAsia" w:hAnsi="Times New Roman"/>
        </w:rPr>
      </w:pPr>
      <w:r>
        <w:rPr>
          <w:rStyle w:val="af0"/>
          <w:vertAlign w:val="baseline"/>
        </w:rPr>
        <w:footnoteRef/>
      </w:r>
      <w:r>
        <w:rPr>
          <w:rFonts w:eastAsiaTheme="minorEastAsia" w:hint="eastAsia"/>
        </w:rPr>
        <w:t xml:space="preserve"> </w:t>
      </w:r>
      <w:r>
        <w:rPr>
          <w:rFonts w:eastAsiaTheme="minorEastAsia" w:hint="eastAsia"/>
        </w:rPr>
        <w:t>陈</w:t>
      </w:r>
      <w:r>
        <w:rPr>
          <w:rFonts w:eastAsiaTheme="minorEastAsia" w:hint="eastAsia"/>
        </w:rPr>
        <w:t xml:space="preserve">  </w:t>
      </w:r>
      <w:r>
        <w:rPr>
          <w:rFonts w:eastAsiaTheme="minorEastAsia" w:hint="eastAsia"/>
        </w:rPr>
        <w:t>闯：中国科学技术馆馆员</w:t>
      </w:r>
      <w:r>
        <w:rPr>
          <w:rFonts w:ascii="Times New Roman" w:eastAsiaTheme="minorEastAsia" w:hAnsi="Times New Roman"/>
        </w:rPr>
        <w:t>；研究方向：科普服务标准化；通讯地址：北京市朝阳区北辰东路</w:t>
      </w:r>
      <w:r>
        <w:rPr>
          <w:rFonts w:ascii="Times New Roman" w:eastAsiaTheme="minorEastAsia" w:hAnsi="Times New Roman"/>
        </w:rPr>
        <w:t>5</w:t>
      </w:r>
      <w:r>
        <w:rPr>
          <w:rFonts w:ascii="Times New Roman" w:eastAsiaTheme="minorEastAsia" w:hAnsi="Times New Roman"/>
        </w:rPr>
        <w:t>号；</w:t>
      </w:r>
      <w:r>
        <w:rPr>
          <w:rFonts w:ascii="Times New Roman" w:eastAsiaTheme="minorEastAsia" w:hAnsi="Times New Roman" w:hint="eastAsia"/>
        </w:rPr>
        <w:t>邮编：</w:t>
      </w:r>
      <w:r>
        <w:rPr>
          <w:rFonts w:ascii="Times New Roman" w:eastAsiaTheme="minorEastAsia" w:hAnsi="Times New Roman" w:hint="eastAsia"/>
        </w:rPr>
        <w:t>100012</w:t>
      </w:r>
      <w:r>
        <w:rPr>
          <w:rFonts w:ascii="Times New Roman" w:eastAsiaTheme="minorEastAsia" w:hAnsi="Times New Roman" w:hint="eastAsia"/>
        </w:rPr>
        <w:t>；</w:t>
      </w:r>
    </w:p>
    <w:p w:rsidR="000946D6" w:rsidRDefault="0084638D">
      <w:pPr>
        <w:pStyle w:val="ab"/>
        <w:spacing w:line="320" w:lineRule="exact"/>
        <w:ind w:leftChars="129" w:left="361" w:hangingChars="50" w:hanging="90"/>
        <w:rPr>
          <w:rFonts w:ascii="Times New Roman" w:eastAsiaTheme="minorEastAsia" w:hAnsi="Times New Roman"/>
        </w:rPr>
      </w:pPr>
      <w:r>
        <w:rPr>
          <w:rFonts w:ascii="Times New Roman" w:eastAsiaTheme="minorEastAsia" w:hAnsi="Times New Roman"/>
        </w:rPr>
        <w:t>Email</w:t>
      </w:r>
      <w:r>
        <w:rPr>
          <w:rFonts w:ascii="Times New Roman" w:eastAsiaTheme="minorEastAsia" w:hAnsi="Times New Roman"/>
        </w:rPr>
        <w:t>：</w:t>
      </w:r>
      <w:r>
        <w:rPr>
          <w:rFonts w:ascii="Times New Roman" w:eastAsiaTheme="minorEastAsia" w:hAnsi="Times New Roman"/>
        </w:rPr>
        <w:t>chenchuang@cstm.org.cn</w:t>
      </w:r>
      <w:r>
        <w:rPr>
          <w:rFonts w:ascii="Times New Roman" w:eastAsiaTheme="minorEastAsia" w:hAnsi="Times New Roman" w:hint="eastAsia"/>
        </w:rPr>
        <w:t>。</w:t>
      </w:r>
    </w:p>
  </w:footnote>
  <w:footnote w:id="2">
    <w:p w:rsidR="000946D6" w:rsidRDefault="0084638D">
      <w:pPr>
        <w:pStyle w:val="ab"/>
        <w:spacing w:line="300" w:lineRule="exact"/>
        <w:ind w:left="180" w:hangingChars="100" w:hanging="180"/>
      </w:pPr>
      <w:r>
        <w:rPr>
          <w:rStyle w:val="af0"/>
          <w:vertAlign w:val="baseline"/>
        </w:rPr>
        <w:footnoteRef/>
      </w:r>
      <w:r>
        <w:rPr>
          <w:rFonts w:hint="eastAsia"/>
        </w:rPr>
        <w:t>分类是指知识被组织、分类的方式。分类又可以分为两种类型，即强分类与弱分类。强分类意味着符码内容的聚合有许多的限制，属于强分类的符码之间的界线清晰、区分程度高，具有差异性与独立性的特点，符码之间的相互替代性较低。弱分类则是指聚合关系的限制较小，开放性较大，彼此间界线模糊。</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0A"/>
    <w:rsid w:val="82DFC9DB"/>
    <w:rsid w:val="000214BB"/>
    <w:rsid w:val="00031F9A"/>
    <w:rsid w:val="000376D6"/>
    <w:rsid w:val="00044710"/>
    <w:rsid w:val="000539CB"/>
    <w:rsid w:val="00074F1D"/>
    <w:rsid w:val="000946D6"/>
    <w:rsid w:val="000C11C7"/>
    <w:rsid w:val="000D0133"/>
    <w:rsid w:val="000F3FA5"/>
    <w:rsid w:val="00100DCF"/>
    <w:rsid w:val="00114A2F"/>
    <w:rsid w:val="00117AD5"/>
    <w:rsid w:val="00140F45"/>
    <w:rsid w:val="00172471"/>
    <w:rsid w:val="00183208"/>
    <w:rsid w:val="00190725"/>
    <w:rsid w:val="001A539F"/>
    <w:rsid w:val="001B1936"/>
    <w:rsid w:val="001B2FDB"/>
    <w:rsid w:val="001B64E4"/>
    <w:rsid w:val="00211A8D"/>
    <w:rsid w:val="00232653"/>
    <w:rsid w:val="00255531"/>
    <w:rsid w:val="00256E07"/>
    <w:rsid w:val="00276205"/>
    <w:rsid w:val="00277C95"/>
    <w:rsid w:val="002C0A63"/>
    <w:rsid w:val="002C3437"/>
    <w:rsid w:val="00306767"/>
    <w:rsid w:val="003079FF"/>
    <w:rsid w:val="0033108D"/>
    <w:rsid w:val="0034179D"/>
    <w:rsid w:val="00344986"/>
    <w:rsid w:val="00353217"/>
    <w:rsid w:val="003550D3"/>
    <w:rsid w:val="00367CB7"/>
    <w:rsid w:val="00385843"/>
    <w:rsid w:val="0039792A"/>
    <w:rsid w:val="003B279D"/>
    <w:rsid w:val="003D5238"/>
    <w:rsid w:val="003D52B2"/>
    <w:rsid w:val="003D55DC"/>
    <w:rsid w:val="003D64DC"/>
    <w:rsid w:val="003E20FD"/>
    <w:rsid w:val="0040199F"/>
    <w:rsid w:val="00403D84"/>
    <w:rsid w:val="0042063D"/>
    <w:rsid w:val="00423F07"/>
    <w:rsid w:val="00425BA4"/>
    <w:rsid w:val="00431713"/>
    <w:rsid w:val="00476687"/>
    <w:rsid w:val="004830F1"/>
    <w:rsid w:val="004A2966"/>
    <w:rsid w:val="004B08DF"/>
    <w:rsid w:val="004C0005"/>
    <w:rsid w:val="004D556E"/>
    <w:rsid w:val="004D7B79"/>
    <w:rsid w:val="004E47D8"/>
    <w:rsid w:val="004F7AE8"/>
    <w:rsid w:val="00532B79"/>
    <w:rsid w:val="00535328"/>
    <w:rsid w:val="005420F6"/>
    <w:rsid w:val="00551FDE"/>
    <w:rsid w:val="0055615B"/>
    <w:rsid w:val="00556D63"/>
    <w:rsid w:val="0057099B"/>
    <w:rsid w:val="005742A8"/>
    <w:rsid w:val="00583AEC"/>
    <w:rsid w:val="005922D3"/>
    <w:rsid w:val="005960E5"/>
    <w:rsid w:val="005B48CB"/>
    <w:rsid w:val="005C7D22"/>
    <w:rsid w:val="005D6AE0"/>
    <w:rsid w:val="005E51DD"/>
    <w:rsid w:val="006067B4"/>
    <w:rsid w:val="0061116D"/>
    <w:rsid w:val="00616841"/>
    <w:rsid w:val="0063424D"/>
    <w:rsid w:val="006405C5"/>
    <w:rsid w:val="0064437B"/>
    <w:rsid w:val="0065011F"/>
    <w:rsid w:val="00675E63"/>
    <w:rsid w:val="006956C7"/>
    <w:rsid w:val="00695760"/>
    <w:rsid w:val="00696357"/>
    <w:rsid w:val="006B6E66"/>
    <w:rsid w:val="006C4EA7"/>
    <w:rsid w:val="006D396D"/>
    <w:rsid w:val="006E3E34"/>
    <w:rsid w:val="006E7069"/>
    <w:rsid w:val="006E795F"/>
    <w:rsid w:val="00703520"/>
    <w:rsid w:val="0071113A"/>
    <w:rsid w:val="00712064"/>
    <w:rsid w:val="00713367"/>
    <w:rsid w:val="00720522"/>
    <w:rsid w:val="007214CF"/>
    <w:rsid w:val="00727A49"/>
    <w:rsid w:val="007334AC"/>
    <w:rsid w:val="00744F88"/>
    <w:rsid w:val="00766288"/>
    <w:rsid w:val="0077297A"/>
    <w:rsid w:val="007A2732"/>
    <w:rsid w:val="007A7E16"/>
    <w:rsid w:val="007E6E46"/>
    <w:rsid w:val="007F2AEB"/>
    <w:rsid w:val="007F61FE"/>
    <w:rsid w:val="0080382D"/>
    <w:rsid w:val="00805A83"/>
    <w:rsid w:val="00805E83"/>
    <w:rsid w:val="00807FE5"/>
    <w:rsid w:val="00814D51"/>
    <w:rsid w:val="00817B19"/>
    <w:rsid w:val="00817FB4"/>
    <w:rsid w:val="00825C8C"/>
    <w:rsid w:val="00836815"/>
    <w:rsid w:val="0084638D"/>
    <w:rsid w:val="00854585"/>
    <w:rsid w:val="008565C4"/>
    <w:rsid w:val="00874883"/>
    <w:rsid w:val="0088753F"/>
    <w:rsid w:val="008901CC"/>
    <w:rsid w:val="008B6655"/>
    <w:rsid w:val="008C4A69"/>
    <w:rsid w:val="008D5272"/>
    <w:rsid w:val="008E403C"/>
    <w:rsid w:val="008F67F8"/>
    <w:rsid w:val="00906AE5"/>
    <w:rsid w:val="00911951"/>
    <w:rsid w:val="0094710A"/>
    <w:rsid w:val="00970D37"/>
    <w:rsid w:val="00973D86"/>
    <w:rsid w:val="0097789F"/>
    <w:rsid w:val="009E7594"/>
    <w:rsid w:val="00A01BBB"/>
    <w:rsid w:val="00A349E4"/>
    <w:rsid w:val="00A442B6"/>
    <w:rsid w:val="00A46652"/>
    <w:rsid w:val="00A550E0"/>
    <w:rsid w:val="00A67885"/>
    <w:rsid w:val="00A75719"/>
    <w:rsid w:val="00A7644B"/>
    <w:rsid w:val="00A94F4E"/>
    <w:rsid w:val="00AB1DED"/>
    <w:rsid w:val="00AC1492"/>
    <w:rsid w:val="00AC549A"/>
    <w:rsid w:val="00AD24CA"/>
    <w:rsid w:val="00AE00D7"/>
    <w:rsid w:val="00AF032B"/>
    <w:rsid w:val="00AF39C3"/>
    <w:rsid w:val="00AF62BE"/>
    <w:rsid w:val="00AF6671"/>
    <w:rsid w:val="00B0370E"/>
    <w:rsid w:val="00B16696"/>
    <w:rsid w:val="00B23A39"/>
    <w:rsid w:val="00B24DD3"/>
    <w:rsid w:val="00B2703D"/>
    <w:rsid w:val="00B40810"/>
    <w:rsid w:val="00B65465"/>
    <w:rsid w:val="00B82169"/>
    <w:rsid w:val="00B87CF0"/>
    <w:rsid w:val="00BA10C1"/>
    <w:rsid w:val="00BA3853"/>
    <w:rsid w:val="00BB0A9D"/>
    <w:rsid w:val="00BB35B7"/>
    <w:rsid w:val="00BB44C3"/>
    <w:rsid w:val="00BC3A7C"/>
    <w:rsid w:val="00BC5032"/>
    <w:rsid w:val="00BC510E"/>
    <w:rsid w:val="00BC5922"/>
    <w:rsid w:val="00BC69B9"/>
    <w:rsid w:val="00BD33C7"/>
    <w:rsid w:val="00BE3F39"/>
    <w:rsid w:val="00BF3B5B"/>
    <w:rsid w:val="00BF7ED4"/>
    <w:rsid w:val="00C255F1"/>
    <w:rsid w:val="00C3279A"/>
    <w:rsid w:val="00C450FE"/>
    <w:rsid w:val="00C46766"/>
    <w:rsid w:val="00C51264"/>
    <w:rsid w:val="00C52875"/>
    <w:rsid w:val="00C6237E"/>
    <w:rsid w:val="00C82203"/>
    <w:rsid w:val="00C91381"/>
    <w:rsid w:val="00C91976"/>
    <w:rsid w:val="00C9345B"/>
    <w:rsid w:val="00C95258"/>
    <w:rsid w:val="00CA0728"/>
    <w:rsid w:val="00CA2C29"/>
    <w:rsid w:val="00CC163D"/>
    <w:rsid w:val="00CE75D1"/>
    <w:rsid w:val="00CF1F9B"/>
    <w:rsid w:val="00CF6A79"/>
    <w:rsid w:val="00D06A29"/>
    <w:rsid w:val="00D1348F"/>
    <w:rsid w:val="00D2183E"/>
    <w:rsid w:val="00D32741"/>
    <w:rsid w:val="00D367F6"/>
    <w:rsid w:val="00D47FCE"/>
    <w:rsid w:val="00D540AB"/>
    <w:rsid w:val="00D6024C"/>
    <w:rsid w:val="00D966A4"/>
    <w:rsid w:val="00DD03A3"/>
    <w:rsid w:val="00DD32FD"/>
    <w:rsid w:val="00E00A4A"/>
    <w:rsid w:val="00E31A00"/>
    <w:rsid w:val="00E321D4"/>
    <w:rsid w:val="00E341FC"/>
    <w:rsid w:val="00E36DED"/>
    <w:rsid w:val="00E45951"/>
    <w:rsid w:val="00E5619F"/>
    <w:rsid w:val="00E56F01"/>
    <w:rsid w:val="00E62073"/>
    <w:rsid w:val="00E717C8"/>
    <w:rsid w:val="00E81EAD"/>
    <w:rsid w:val="00E9632A"/>
    <w:rsid w:val="00EA23F6"/>
    <w:rsid w:val="00ED1BEC"/>
    <w:rsid w:val="00EF5999"/>
    <w:rsid w:val="00F24F11"/>
    <w:rsid w:val="00F36F95"/>
    <w:rsid w:val="00F46E4D"/>
    <w:rsid w:val="00F66639"/>
    <w:rsid w:val="00F76C89"/>
    <w:rsid w:val="00F80ADB"/>
    <w:rsid w:val="00FA1125"/>
    <w:rsid w:val="00FA3187"/>
    <w:rsid w:val="00FB2610"/>
    <w:rsid w:val="00FC36E5"/>
    <w:rsid w:val="00FE263A"/>
    <w:rsid w:val="00FE33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52E77091"/>
  <w15:docId w15:val="{338C87AB-3E6F-4A34-9276-7677E577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uiPriority="0" w:unhideWhenUsed="1" w:qFormat="1"/>
    <w:lsdException w:name="annotation text" w:semiHidden="1" w:unhideWhenUsed="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semiHidden="1" w:uiPriority="0"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unhideWhenUsed/>
    <w:qFormat/>
    <w:pPr>
      <w:snapToGrid w:val="0"/>
      <w:jc w:val="left"/>
    </w:pPr>
  </w:style>
  <w:style w:type="paragraph" w:styleId="a5">
    <w:name w:val="Balloon Text"/>
    <w:basedOn w:val="a"/>
    <w:link w:val="a6"/>
    <w:uiPriority w:val="99"/>
    <w:semiHidden/>
    <w:qFormat/>
    <w:rPr>
      <w:sz w:val="18"/>
      <w:szCs w:val="18"/>
    </w:rPr>
  </w:style>
  <w:style w:type="paragraph" w:styleId="a7">
    <w:name w:val="footer"/>
    <w:basedOn w:val="a"/>
    <w:link w:val="a8"/>
    <w:uiPriority w:val="99"/>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footnote text"/>
    <w:basedOn w:val="a"/>
    <w:link w:val="ac"/>
    <w:unhideWhenUsed/>
    <w:qFormat/>
    <w:pPr>
      <w:snapToGrid w:val="0"/>
      <w:jc w:val="left"/>
    </w:pPr>
    <w:rPr>
      <w:sz w:val="18"/>
    </w:rPr>
  </w:style>
  <w:style w:type="paragraph" w:styleId="ad">
    <w:name w:val="Title"/>
    <w:basedOn w:val="a"/>
    <w:next w:val="a"/>
    <w:link w:val="ae"/>
    <w:uiPriority w:val="99"/>
    <w:qFormat/>
    <w:locked/>
    <w:pPr>
      <w:spacing w:before="240" w:after="60"/>
      <w:jc w:val="center"/>
      <w:outlineLvl w:val="0"/>
    </w:pPr>
    <w:rPr>
      <w:rFonts w:ascii="Cambria" w:hAnsi="Cambria"/>
      <w:b/>
      <w:bCs/>
      <w:sz w:val="32"/>
      <w:szCs w:val="32"/>
    </w:rPr>
  </w:style>
  <w:style w:type="character" w:styleId="af">
    <w:name w:val="endnote reference"/>
    <w:uiPriority w:val="99"/>
    <w:unhideWhenUsed/>
    <w:qFormat/>
    <w:rPr>
      <w:vertAlign w:val="superscript"/>
    </w:rPr>
  </w:style>
  <w:style w:type="character" w:styleId="af0">
    <w:name w:val="footnote reference"/>
    <w:basedOn w:val="a0"/>
    <w:unhideWhenUsed/>
    <w:qFormat/>
    <w:rPr>
      <w:vertAlign w:val="superscript"/>
    </w:rPr>
  </w:style>
  <w:style w:type="paragraph" w:customStyle="1" w:styleId="1">
    <w:name w:val="列出段落1"/>
    <w:basedOn w:val="a"/>
    <w:uiPriority w:val="99"/>
    <w:pPr>
      <w:ind w:firstLineChars="200" w:firstLine="420"/>
    </w:pPr>
  </w:style>
  <w:style w:type="character" w:customStyle="1" w:styleId="apple-converted-space">
    <w:name w:val="apple-converted-space"/>
    <w:uiPriority w:val="99"/>
    <w:qFormat/>
    <w:rPr>
      <w:rFonts w:cs="Times New Roman"/>
    </w:rPr>
  </w:style>
  <w:style w:type="character" w:customStyle="1" w:styleId="aa">
    <w:name w:val="页眉 字符"/>
    <w:link w:val="a9"/>
    <w:uiPriority w:val="99"/>
    <w:qFormat/>
    <w:locked/>
    <w:rPr>
      <w:rFonts w:cs="Times New Roman"/>
      <w:kern w:val="2"/>
      <w:sz w:val="18"/>
      <w:szCs w:val="18"/>
    </w:rPr>
  </w:style>
  <w:style w:type="character" w:customStyle="1" w:styleId="a8">
    <w:name w:val="页脚 字符"/>
    <w:link w:val="a7"/>
    <w:uiPriority w:val="99"/>
    <w:qFormat/>
    <w:locked/>
    <w:rPr>
      <w:rFonts w:cs="Times New Roman"/>
      <w:kern w:val="2"/>
      <w:sz w:val="18"/>
      <w:szCs w:val="18"/>
    </w:rPr>
  </w:style>
  <w:style w:type="character" w:customStyle="1" w:styleId="a6">
    <w:name w:val="批注框文本 字符"/>
    <w:link w:val="a5"/>
    <w:uiPriority w:val="99"/>
    <w:semiHidden/>
    <w:qFormat/>
    <w:locked/>
    <w:rPr>
      <w:rFonts w:cs="Times New Roman"/>
      <w:sz w:val="2"/>
    </w:rPr>
  </w:style>
  <w:style w:type="character" w:customStyle="1" w:styleId="ac">
    <w:name w:val="脚注文本 字符"/>
    <w:basedOn w:val="a0"/>
    <w:link w:val="ab"/>
    <w:qFormat/>
    <w:rPr>
      <w:kern w:val="2"/>
      <w:sz w:val="18"/>
      <w:szCs w:val="22"/>
    </w:rPr>
  </w:style>
  <w:style w:type="character" w:customStyle="1" w:styleId="ae">
    <w:name w:val="标题 字符"/>
    <w:basedOn w:val="a0"/>
    <w:link w:val="ad"/>
    <w:uiPriority w:val="99"/>
    <w:qFormat/>
    <w:rPr>
      <w:rFonts w:ascii="Cambria" w:hAnsi="Cambria"/>
      <w:b/>
      <w:bCs/>
      <w:kern w:val="2"/>
      <w:sz w:val="32"/>
      <w:szCs w:val="32"/>
    </w:rPr>
  </w:style>
  <w:style w:type="character" w:customStyle="1" w:styleId="a4">
    <w:name w:val="尾注文本 字符"/>
    <w:basedOn w:val="a0"/>
    <w:link w:val="a3"/>
    <w:uiPriority w:val="99"/>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586CC25C-8071-4913-8B95-173095594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《××××》征稿通知</dc:title>
  <dc:creator>lenovo</dc:creator>
  <cp:lastModifiedBy>cstm</cp:lastModifiedBy>
  <cp:revision>2</cp:revision>
  <dcterms:created xsi:type="dcterms:W3CDTF">2026-06-24T07:46:00Z</dcterms:created>
  <dcterms:modified xsi:type="dcterms:W3CDTF">2026-06-24T07:46:00Z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D206AC6C77D94717E23B3A6AD403732B_42</vt:lpwstr>
  </property>
</Properties>
</file>